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B765FA" w14:textId="77777777" w:rsidR="00475CE2" w:rsidRDefault="00C902A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Jason Chong</w:t>
      </w:r>
    </w:p>
    <w:p w14:paraId="7BCFE076" w14:textId="77777777" w:rsidR="00C902A5" w:rsidRDefault="00C902A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01/30/2018</w:t>
      </w:r>
    </w:p>
    <w:p w14:paraId="70E31B5B" w14:textId="77777777" w:rsidR="00C902A5" w:rsidRDefault="00C902A5" w:rsidP="00C902A5">
      <w:pPr>
        <w:jc w:val="center"/>
      </w:pPr>
      <w:r>
        <w:t>Kickstart My Chart</w:t>
      </w:r>
    </w:p>
    <w:p w14:paraId="52F3CA80" w14:textId="2D528475" w:rsidR="00B867DE" w:rsidRDefault="000E76FA" w:rsidP="00B867DE">
      <w:pPr>
        <w:numPr>
          <w:ilvl w:val="0"/>
          <w:numId w:val="1"/>
        </w:numPr>
        <w:spacing w:after="100" w:afterAutospacing="1" w:line="384" w:lineRule="atLeast"/>
        <w:rPr>
          <w:rFonts w:ascii="Helvetica" w:eastAsia="Times New Roman" w:hAnsi="Helvetica" w:cs="Helvetica"/>
          <w:color w:val="5C5C5C"/>
          <w:sz w:val="23"/>
          <w:szCs w:val="23"/>
        </w:rPr>
      </w:pPr>
      <w:r w:rsidRPr="000E76FA">
        <w:rPr>
          <w:rFonts w:ascii="Helvetica" w:eastAsia="Times New Roman" w:hAnsi="Helvetica" w:cs="Helvetica"/>
          <w:color w:val="5C5C5C"/>
          <w:sz w:val="23"/>
          <w:szCs w:val="23"/>
        </w:rPr>
        <w:t>What are three conclusions we can make about Kickstarter campaigns given the provided data?</w:t>
      </w:r>
    </w:p>
    <w:p w14:paraId="51B04B07" w14:textId="4387AB6E" w:rsidR="00B867DE" w:rsidRDefault="00B867DE" w:rsidP="00B867DE">
      <w:pPr>
        <w:spacing w:after="100" w:afterAutospacing="1" w:line="384" w:lineRule="atLeast"/>
        <w:ind w:left="720"/>
        <w:rPr>
          <w:rFonts w:ascii="Helvetica" w:eastAsia="Times New Roman" w:hAnsi="Helvetica" w:cs="Helvetica"/>
          <w:color w:val="5C5C5C"/>
          <w:sz w:val="23"/>
          <w:szCs w:val="23"/>
        </w:rPr>
      </w:pPr>
      <w:r>
        <w:rPr>
          <w:rFonts w:ascii="Helvetica" w:eastAsia="Times New Roman" w:hAnsi="Helvetica" w:cs="Helvetica"/>
          <w:color w:val="5C5C5C"/>
          <w:sz w:val="23"/>
          <w:szCs w:val="23"/>
        </w:rPr>
        <w:t>Kickstarter is very popular program for entertainment and the arts. The bar chart below grouped by categories shows high counts of campaigns in theater, music, film and video:</w:t>
      </w:r>
    </w:p>
    <w:p w14:paraId="46C87B18" w14:textId="1CB8C45F" w:rsidR="00B867DE" w:rsidRDefault="00B867DE" w:rsidP="00B867DE">
      <w:pPr>
        <w:spacing w:after="100" w:afterAutospacing="1" w:line="384" w:lineRule="atLeast"/>
        <w:ind w:left="720"/>
        <w:rPr>
          <w:rFonts w:ascii="Helvetica" w:eastAsia="Times New Roman" w:hAnsi="Helvetica" w:cs="Helvetica"/>
          <w:color w:val="5C5C5C"/>
          <w:sz w:val="23"/>
          <w:szCs w:val="23"/>
        </w:rPr>
      </w:pPr>
      <w:r>
        <w:rPr>
          <w:noProof/>
        </w:rPr>
        <w:drawing>
          <wp:inline distT="0" distB="0" distL="0" distR="0" wp14:anchorId="77522BC7" wp14:editId="3B57C7C5">
            <wp:extent cx="5353050" cy="2007870"/>
            <wp:effectExtent l="0" t="0" r="0" b="1143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EE4DD561-E2C8-4504-9943-D619597553E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3C8159A6" w14:textId="37814CDE" w:rsidR="00B867DE" w:rsidRDefault="00B867DE" w:rsidP="00B867DE">
      <w:pPr>
        <w:spacing w:after="100" w:afterAutospacing="1" w:line="384" w:lineRule="atLeast"/>
        <w:ind w:left="720"/>
        <w:rPr>
          <w:rFonts w:ascii="Helvetica" w:eastAsia="Times New Roman" w:hAnsi="Helvetica" w:cs="Helvetica"/>
          <w:color w:val="5C5C5C"/>
          <w:sz w:val="23"/>
          <w:szCs w:val="23"/>
        </w:rPr>
      </w:pPr>
      <w:r>
        <w:rPr>
          <w:rFonts w:ascii="Helvetica" w:eastAsia="Times New Roman" w:hAnsi="Helvetica" w:cs="Helvetica"/>
          <w:color w:val="5C5C5C"/>
          <w:sz w:val="23"/>
          <w:szCs w:val="23"/>
        </w:rPr>
        <w:t xml:space="preserve">While crowd funding is very popular, it’s about a 50/50 chance of being successful. Of the 4,114 campaigns analyzed only 53% of them appear to have been successful. </w:t>
      </w:r>
    </w:p>
    <w:p w14:paraId="766EBC6F" w14:textId="4EEF4D1E" w:rsidR="00B867DE" w:rsidRDefault="00B867DE" w:rsidP="00B867DE">
      <w:pPr>
        <w:spacing w:after="100" w:afterAutospacing="1" w:line="384" w:lineRule="atLeast"/>
        <w:ind w:left="720"/>
        <w:rPr>
          <w:rFonts w:ascii="Helvetica" w:eastAsia="Times New Roman" w:hAnsi="Helvetica" w:cs="Helvetica"/>
          <w:color w:val="5C5C5C"/>
          <w:sz w:val="23"/>
          <w:szCs w:val="23"/>
        </w:rPr>
      </w:pPr>
      <w:r>
        <w:rPr>
          <w:rFonts w:ascii="Helvetica" w:eastAsia="Times New Roman" w:hAnsi="Helvetica" w:cs="Helvetica"/>
          <w:color w:val="5C5C5C"/>
          <w:sz w:val="23"/>
          <w:szCs w:val="23"/>
        </w:rPr>
        <w:t xml:space="preserve">If you’re in the food truck or animation market, look elsewhere. All food truck (100 campaigns) and animation (100) projects failed to be successful in this data set. </w:t>
      </w:r>
    </w:p>
    <w:p w14:paraId="59DD032D" w14:textId="77777777" w:rsidR="00B867DE" w:rsidRPr="00B867DE" w:rsidRDefault="00B867DE" w:rsidP="00B867DE">
      <w:pPr>
        <w:spacing w:after="100" w:afterAutospacing="1" w:line="384" w:lineRule="atLeast"/>
        <w:ind w:left="720"/>
        <w:rPr>
          <w:rFonts w:ascii="Helvetica" w:eastAsia="Times New Roman" w:hAnsi="Helvetica" w:cs="Helvetica"/>
          <w:color w:val="5C5C5C"/>
          <w:sz w:val="23"/>
          <w:szCs w:val="23"/>
        </w:rPr>
      </w:pPr>
    </w:p>
    <w:p w14:paraId="57C86205" w14:textId="4D6E64EB" w:rsidR="000E76FA" w:rsidRDefault="000E76FA" w:rsidP="000E76FA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5C5C5C"/>
          <w:sz w:val="23"/>
          <w:szCs w:val="23"/>
        </w:rPr>
      </w:pPr>
      <w:r w:rsidRPr="000E76FA">
        <w:rPr>
          <w:rFonts w:ascii="Helvetica" w:eastAsia="Times New Roman" w:hAnsi="Helvetica" w:cs="Helvetica"/>
          <w:color w:val="5C5C5C"/>
          <w:sz w:val="23"/>
          <w:szCs w:val="23"/>
        </w:rPr>
        <w:t>What are some of the limitations of this dataset?</w:t>
      </w:r>
    </w:p>
    <w:p w14:paraId="1F22703A" w14:textId="1FC7939D" w:rsidR="00B867DE" w:rsidRPr="000E76FA" w:rsidRDefault="00B867DE" w:rsidP="00B867DE">
      <w:pPr>
        <w:spacing w:before="100" w:beforeAutospacing="1" w:after="100" w:afterAutospacing="1" w:line="384" w:lineRule="atLeast"/>
        <w:ind w:left="720"/>
        <w:rPr>
          <w:rFonts w:ascii="Helvetica" w:eastAsia="Times New Roman" w:hAnsi="Helvetica" w:cs="Helvetica"/>
          <w:color w:val="5C5C5C"/>
          <w:sz w:val="23"/>
          <w:szCs w:val="23"/>
        </w:rPr>
      </w:pPr>
      <w:r>
        <w:rPr>
          <w:rFonts w:ascii="Helvetica" w:eastAsia="Times New Roman" w:hAnsi="Helvetica" w:cs="Helvetica"/>
          <w:color w:val="5C5C5C"/>
          <w:sz w:val="23"/>
          <w:szCs w:val="23"/>
        </w:rPr>
        <w:t xml:space="preserve">The data set contains currency from multiple markets which does not allow someone to analyze this without cleaning and converting the data. </w:t>
      </w:r>
      <w:r w:rsidR="008E7E3B">
        <w:rPr>
          <w:rFonts w:ascii="Helvetica" w:eastAsia="Times New Roman" w:hAnsi="Helvetica" w:cs="Helvetica"/>
          <w:color w:val="5C5C5C"/>
          <w:sz w:val="23"/>
          <w:szCs w:val="23"/>
        </w:rPr>
        <w:t>Additional project information, such as incentives for donors would be helpful to analyze why some campaigns are more successful than others.</w:t>
      </w:r>
      <w:bookmarkStart w:id="0" w:name="_GoBack"/>
      <w:bookmarkEnd w:id="0"/>
    </w:p>
    <w:p w14:paraId="2285488D" w14:textId="3DD516B1" w:rsidR="008E7E3B" w:rsidRDefault="000E76FA" w:rsidP="008E7E3B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5C5C5C"/>
          <w:sz w:val="23"/>
          <w:szCs w:val="23"/>
        </w:rPr>
      </w:pPr>
      <w:r w:rsidRPr="000E76FA">
        <w:rPr>
          <w:rFonts w:ascii="Helvetica" w:eastAsia="Times New Roman" w:hAnsi="Helvetica" w:cs="Helvetica"/>
          <w:color w:val="5C5C5C"/>
          <w:sz w:val="23"/>
          <w:szCs w:val="23"/>
        </w:rPr>
        <w:lastRenderedPageBreak/>
        <w:t>What are some other possible tables/graphs that we could create</w:t>
      </w:r>
      <w:r w:rsidR="008E7E3B">
        <w:rPr>
          <w:rFonts w:ascii="Helvetica" w:eastAsia="Times New Roman" w:hAnsi="Helvetica" w:cs="Helvetica"/>
          <w:color w:val="5C5C5C"/>
          <w:sz w:val="23"/>
          <w:szCs w:val="23"/>
        </w:rPr>
        <w:t>?</w:t>
      </w:r>
    </w:p>
    <w:p w14:paraId="1085A107" w14:textId="59DFE44A" w:rsidR="008E7E3B" w:rsidRDefault="008E7E3B" w:rsidP="008E7E3B">
      <w:pPr>
        <w:spacing w:before="100" w:beforeAutospacing="1" w:after="100" w:afterAutospacing="1" w:line="384" w:lineRule="atLeast"/>
        <w:ind w:left="720"/>
        <w:rPr>
          <w:rFonts w:ascii="Helvetica" w:eastAsia="Times New Roman" w:hAnsi="Helvetica" w:cs="Helvetica"/>
          <w:color w:val="5C5C5C"/>
          <w:sz w:val="23"/>
          <w:szCs w:val="23"/>
        </w:rPr>
      </w:pPr>
      <w:r>
        <w:rPr>
          <w:rFonts w:ascii="Helvetica" w:eastAsia="Times New Roman" w:hAnsi="Helvetica" w:cs="Helvetica"/>
          <w:color w:val="5C5C5C"/>
          <w:sz w:val="23"/>
          <w:szCs w:val="23"/>
        </w:rPr>
        <w:t xml:space="preserve">A pie chart of state could have quickly visualized what the success rate is for </w:t>
      </w:r>
      <w:proofErr w:type="spellStart"/>
      <w:r>
        <w:rPr>
          <w:rFonts w:ascii="Helvetica" w:eastAsia="Times New Roman" w:hAnsi="Helvetica" w:cs="Helvetica"/>
          <w:color w:val="5C5C5C"/>
          <w:sz w:val="23"/>
          <w:szCs w:val="23"/>
        </w:rPr>
        <w:t>kickstarter</w:t>
      </w:r>
      <w:proofErr w:type="spellEnd"/>
      <w:r>
        <w:rPr>
          <w:rFonts w:ascii="Helvetica" w:eastAsia="Times New Roman" w:hAnsi="Helvetica" w:cs="Helvetica"/>
          <w:color w:val="5C5C5C"/>
          <w:sz w:val="23"/>
          <w:szCs w:val="23"/>
        </w:rPr>
        <w:t xml:space="preserve"> campaigns</w:t>
      </w:r>
    </w:p>
    <w:p w14:paraId="39EA33C4" w14:textId="7D45E11E" w:rsidR="008E7E3B" w:rsidRDefault="008E7E3B" w:rsidP="008E7E3B">
      <w:pPr>
        <w:spacing w:before="100" w:beforeAutospacing="1" w:after="100" w:afterAutospacing="1" w:line="384" w:lineRule="atLeast"/>
        <w:ind w:left="720"/>
        <w:rPr>
          <w:rFonts w:ascii="Helvetica" w:eastAsia="Times New Roman" w:hAnsi="Helvetica" w:cs="Helvetica"/>
          <w:color w:val="5C5C5C"/>
          <w:sz w:val="23"/>
          <w:szCs w:val="23"/>
        </w:rPr>
      </w:pPr>
      <w:r>
        <w:rPr>
          <w:noProof/>
        </w:rPr>
        <w:drawing>
          <wp:inline distT="0" distB="0" distL="0" distR="0" wp14:anchorId="74C8D185" wp14:editId="571ACE7B">
            <wp:extent cx="3481388" cy="2695575"/>
            <wp:effectExtent l="0" t="0" r="5080" b="9525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C336BE3D-180B-4A26-B7F3-24E99AD6FA3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793C306C" w14:textId="28025359" w:rsidR="008E7E3B" w:rsidRPr="008E7E3B" w:rsidRDefault="008E7E3B" w:rsidP="008E7E3B">
      <w:pPr>
        <w:spacing w:before="100" w:beforeAutospacing="1" w:after="100" w:afterAutospacing="1" w:line="384" w:lineRule="atLeast"/>
        <w:ind w:left="720"/>
        <w:rPr>
          <w:rFonts w:ascii="Helvetica" w:eastAsia="Times New Roman" w:hAnsi="Helvetica" w:cs="Helvetica"/>
          <w:color w:val="5C5C5C"/>
          <w:sz w:val="23"/>
          <w:szCs w:val="23"/>
        </w:rPr>
      </w:pPr>
      <w:r>
        <w:rPr>
          <w:rFonts w:ascii="Helvetica" w:eastAsia="Times New Roman" w:hAnsi="Helvetica" w:cs="Helvetica"/>
          <w:color w:val="5C5C5C"/>
          <w:sz w:val="23"/>
          <w:szCs w:val="23"/>
        </w:rPr>
        <w:t xml:space="preserve">A regression analysis could be completed based on some of the other variables such as spotlight, staff picks, category to see if there’s any correlation to a successful project. </w:t>
      </w:r>
    </w:p>
    <w:p w14:paraId="0DDC93FF" w14:textId="6293770F" w:rsidR="008E7E3B" w:rsidRDefault="008E7E3B" w:rsidP="008E7E3B">
      <w:p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5C5C5C"/>
          <w:sz w:val="23"/>
          <w:szCs w:val="23"/>
        </w:rPr>
      </w:pPr>
    </w:p>
    <w:p w14:paraId="68AD9E14" w14:textId="77777777" w:rsidR="008E7E3B" w:rsidRPr="000E76FA" w:rsidRDefault="008E7E3B" w:rsidP="008E7E3B">
      <w:pPr>
        <w:spacing w:before="100" w:beforeAutospacing="1" w:after="100" w:afterAutospacing="1" w:line="384" w:lineRule="atLeast"/>
        <w:ind w:left="1440"/>
        <w:rPr>
          <w:rFonts w:ascii="Helvetica" w:eastAsia="Times New Roman" w:hAnsi="Helvetica" w:cs="Helvetica"/>
          <w:color w:val="5C5C5C"/>
          <w:sz w:val="23"/>
          <w:szCs w:val="23"/>
        </w:rPr>
      </w:pPr>
    </w:p>
    <w:p w14:paraId="70A08D00" w14:textId="77777777" w:rsidR="00C902A5" w:rsidRDefault="00C902A5" w:rsidP="000E76FA"/>
    <w:sectPr w:rsidR="00C902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23F21"/>
    <w:multiLevelType w:val="multilevel"/>
    <w:tmpl w:val="28907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2A5"/>
    <w:rsid w:val="000E76FA"/>
    <w:rsid w:val="00475CE2"/>
    <w:rsid w:val="00630AF3"/>
    <w:rsid w:val="008E7E3B"/>
    <w:rsid w:val="00B867DE"/>
    <w:rsid w:val="00C90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A549D"/>
  <w15:chartTrackingRefBased/>
  <w15:docId w15:val="{FF47509D-3349-49A8-AE3A-DB80DF1F1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91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ason%20CHong\Desktop\UCI%20HW%20%23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ason%20CHong\Desktop\UCI%20HW%20%23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[UCI HW #1.xlsx]Pivot 1!PivotTable2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6"/>
        <c:spPr>
          <a:solidFill>
            <a:srgbClr val="11FF7D"/>
          </a:solidFill>
          <a:ln>
            <a:noFill/>
          </a:ln>
          <a:effectLst/>
        </c:spPr>
        <c:marker>
          <c:symbol val="none"/>
        </c:marker>
      </c:pivotFmt>
      <c:pivotFmt>
        <c:idx val="7"/>
        <c:spPr>
          <a:solidFill>
            <a:srgbClr val="C00000"/>
          </a:solidFill>
          <a:ln>
            <a:noFill/>
          </a:ln>
          <a:effectLst/>
        </c:spPr>
        <c:marker>
          <c:symbol val="none"/>
        </c:marker>
      </c:pivotFmt>
      <c:pivotFmt>
        <c:idx val="8"/>
        <c:spPr>
          <a:solidFill>
            <a:schemeClr val="accent4">
              <a:lumMod val="60000"/>
              <a:lumOff val="40000"/>
            </a:schemeClr>
          </a:solidFill>
          <a:ln>
            <a:noFill/>
          </a:ln>
          <a:effectLst/>
        </c:spPr>
        <c:marker>
          <c:symbol val="none"/>
        </c:marker>
      </c:pivotFmt>
      <c:pivotFmt>
        <c:idx val="9"/>
        <c:spPr>
          <a:solidFill>
            <a:srgbClr val="002060"/>
          </a:solidFill>
          <a:ln>
            <a:noFill/>
          </a:ln>
          <a:effectLst/>
        </c:spPr>
        <c:marker>
          <c:symbol val="none"/>
        </c:marker>
      </c:pivotFmt>
      <c:pivotFmt>
        <c:idx val="10"/>
        <c:spPr>
          <a:solidFill>
            <a:srgbClr val="11FF7D"/>
          </a:solidFill>
          <a:ln>
            <a:noFill/>
          </a:ln>
          <a:effectLst/>
        </c:spPr>
        <c:marker>
          <c:symbol val="none"/>
        </c:marker>
      </c:pivotFmt>
      <c:pivotFmt>
        <c:idx val="11"/>
        <c:spPr>
          <a:solidFill>
            <a:schemeClr val="accent4">
              <a:lumMod val="60000"/>
              <a:lumOff val="40000"/>
            </a:schemeClr>
          </a:solidFill>
          <a:ln>
            <a:noFill/>
          </a:ln>
          <a:effectLst/>
        </c:spPr>
        <c:marker>
          <c:symbol val="none"/>
        </c:marker>
      </c:pivotFmt>
      <c:pivotFmt>
        <c:idx val="12"/>
        <c:spPr>
          <a:solidFill>
            <a:srgbClr val="002060"/>
          </a:solidFill>
          <a:ln>
            <a:noFill/>
          </a:ln>
          <a:effectLst/>
        </c:spPr>
        <c:marker>
          <c:symbol val="none"/>
        </c:marker>
      </c:pivotFmt>
      <c:pivotFmt>
        <c:idx val="13"/>
        <c:spPr>
          <a:solidFill>
            <a:srgbClr val="C00000"/>
          </a:solidFill>
          <a:ln>
            <a:noFill/>
          </a:ln>
          <a:effectLst/>
        </c:spPr>
        <c:marker>
          <c:symbol val="none"/>
        </c:marker>
      </c:pivotFmt>
      <c:pivotFmt>
        <c:idx val="14"/>
        <c:spPr>
          <a:solidFill>
            <a:srgbClr val="11FF7D"/>
          </a:solidFill>
          <a:ln>
            <a:noFill/>
          </a:ln>
          <a:effectLst/>
        </c:spPr>
        <c:marker>
          <c:symbol val="none"/>
        </c:marker>
      </c:pivotFmt>
      <c:pivotFmt>
        <c:idx val="15"/>
        <c:spPr>
          <a:solidFill>
            <a:schemeClr val="accent4">
              <a:lumMod val="60000"/>
              <a:lumOff val="40000"/>
            </a:schemeClr>
          </a:solidFill>
          <a:ln>
            <a:noFill/>
          </a:ln>
          <a:effectLst/>
        </c:spPr>
        <c:marker>
          <c:symbol val="none"/>
        </c:marker>
      </c:pivotFmt>
      <c:pivotFmt>
        <c:idx val="16"/>
        <c:spPr>
          <a:solidFill>
            <a:srgbClr val="002060"/>
          </a:solidFill>
          <a:ln>
            <a:noFill/>
          </a:ln>
          <a:effectLst/>
        </c:spPr>
        <c:marker>
          <c:symbol val="none"/>
        </c:marker>
      </c:pivotFmt>
      <c:pivotFmt>
        <c:idx val="17"/>
        <c:spPr>
          <a:solidFill>
            <a:srgbClr val="C00000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'Pivot 1'!$B$3:$B$4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rgbClr val="11FF7D"/>
            </a:solidFill>
            <a:ln>
              <a:noFill/>
            </a:ln>
            <a:effectLst/>
          </c:spPr>
          <c:invertIfNegative val="0"/>
          <c:cat>
            <c:strRef>
              <c:f>'Pivot 1'!$A$5:$A$14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'Pivot 1'!$B$5:$B$14</c:f>
              <c:numCache>
                <c:formatCode>General</c:formatCode>
                <c:ptCount val="9"/>
                <c:pt idx="0">
                  <c:v>300</c:v>
                </c:pt>
                <c:pt idx="1">
                  <c:v>34</c:v>
                </c:pt>
                <c:pt idx="2">
                  <c:v>80</c:v>
                </c:pt>
                <c:pt idx="4">
                  <c:v>540</c:v>
                </c:pt>
                <c:pt idx="5">
                  <c:v>103</c:v>
                </c:pt>
                <c:pt idx="6">
                  <c:v>80</c:v>
                </c:pt>
                <c:pt idx="7">
                  <c:v>209</c:v>
                </c:pt>
                <c:pt idx="8">
                  <c:v>839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920-42C9-8CAB-F3AB8224F901}"/>
            </c:ext>
          </c:extLst>
        </c:ser>
        <c:ser>
          <c:idx val="1"/>
          <c:order val="1"/>
          <c:tx>
            <c:strRef>
              <c:f>'Pivot 1'!$C$3:$C$4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4">
                <a:lumMod val="60000"/>
                <a:lumOff val="40000"/>
              </a:schemeClr>
            </a:solidFill>
            <a:ln>
              <a:noFill/>
            </a:ln>
            <a:effectLst/>
          </c:spPr>
          <c:invertIfNegative val="0"/>
          <c:cat>
            <c:strRef>
              <c:f>'Pivot 1'!$A$5:$A$14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'Pivot 1'!$C$5:$C$14</c:f>
              <c:numCache>
                <c:formatCode>General</c:formatCode>
                <c:ptCount val="9"/>
                <c:pt idx="0">
                  <c:v>180</c:v>
                </c:pt>
                <c:pt idx="1">
                  <c:v>140</c:v>
                </c:pt>
                <c:pt idx="2">
                  <c:v>140</c:v>
                </c:pt>
                <c:pt idx="4">
                  <c:v>120</c:v>
                </c:pt>
                <c:pt idx="5">
                  <c:v>117</c:v>
                </c:pt>
                <c:pt idx="6">
                  <c:v>127</c:v>
                </c:pt>
                <c:pt idx="7">
                  <c:v>213</c:v>
                </c:pt>
                <c:pt idx="8">
                  <c:v>493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920-42C9-8CAB-F3AB8224F901}"/>
            </c:ext>
          </c:extLst>
        </c:ser>
        <c:ser>
          <c:idx val="2"/>
          <c:order val="2"/>
          <c:tx>
            <c:strRef>
              <c:f>'Pivot 1'!$D$3:$D$4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rgbClr val="002060"/>
            </a:solidFill>
            <a:ln>
              <a:noFill/>
            </a:ln>
            <a:effectLst/>
          </c:spPr>
          <c:invertIfNegative val="0"/>
          <c:cat>
            <c:strRef>
              <c:f>'Pivot 1'!$A$5:$A$14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'Pivot 1'!$D$5:$D$14</c:f>
              <c:numCache>
                <c:formatCode>General</c:formatCode>
                <c:ptCount val="9"/>
                <c:pt idx="0">
                  <c:v>40</c:v>
                </c:pt>
                <c:pt idx="1">
                  <c:v>20</c:v>
                </c:pt>
                <c:pt idx="3">
                  <c:v>24</c:v>
                </c:pt>
                <c:pt idx="4">
                  <c:v>20</c:v>
                </c:pt>
                <c:pt idx="6">
                  <c:v>30</c:v>
                </c:pt>
                <c:pt idx="7">
                  <c:v>178</c:v>
                </c:pt>
                <c:pt idx="8">
                  <c:v>37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920-42C9-8CAB-F3AB8224F901}"/>
            </c:ext>
          </c:extLst>
        </c:ser>
        <c:ser>
          <c:idx val="3"/>
          <c:order val="3"/>
          <c:tx>
            <c:strRef>
              <c:f>'Pivot 1'!$E$3:$E$4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rgbClr val="C00000"/>
            </a:solidFill>
            <a:ln>
              <a:noFill/>
            </a:ln>
            <a:effectLst/>
          </c:spPr>
          <c:invertIfNegative val="0"/>
          <c:cat>
            <c:strRef>
              <c:f>'Pivot 1'!$A$5:$A$14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'Pivot 1'!$E$5:$E$14</c:f>
              <c:numCache>
                <c:formatCode>General</c:formatCode>
                <c:ptCount val="9"/>
                <c:pt idx="1">
                  <c:v>6</c:v>
                </c:pt>
                <c:pt idx="4">
                  <c:v>20</c:v>
                </c:pt>
                <c:pt idx="8">
                  <c:v>24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1920-42C9-8CAB-F3AB8224F90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100"/>
        <c:axId val="551339384"/>
        <c:axId val="551340368"/>
      </c:barChart>
      <c:catAx>
        <c:axId val="5513393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1340368"/>
        <c:crosses val="autoZero"/>
        <c:auto val="1"/>
        <c:lblAlgn val="ctr"/>
        <c:lblOffset val="100"/>
        <c:noMultiLvlLbl val="0"/>
      </c:catAx>
      <c:valAx>
        <c:axId val="5513403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13393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[UCI HW #1.xlsx]pie chart!PivotTable2</c:name>
    <c:fmtId val="-1"/>
  </c:pivotSource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</c:pivotFmts>
    <c:plotArea>
      <c:layout/>
      <c:pieChart>
        <c:varyColors val="1"/>
        <c:ser>
          <c:idx val="0"/>
          <c:order val="0"/>
          <c:tx>
            <c:strRef>
              <c:f>'pie chart'!$B$3:$B$4</c:f>
              <c:strCache>
                <c:ptCount val="1"/>
                <c:pt idx="0">
                  <c:v>Total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AD52-4AF5-A5C9-6390167F1CFF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AD52-4AF5-A5C9-6390167F1CFF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AD52-4AF5-A5C9-6390167F1CFF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AD52-4AF5-A5C9-6390167F1CFF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'pie chart'!$A$5:$A$9</c:f>
              <c:strCache>
                <c:ptCount val="4"/>
                <c:pt idx="0">
                  <c:v>successful</c:v>
                </c:pt>
                <c:pt idx="1">
                  <c:v>failed</c:v>
                </c:pt>
                <c:pt idx="2">
                  <c:v>canceled</c:v>
                </c:pt>
                <c:pt idx="3">
                  <c:v>live</c:v>
                </c:pt>
              </c:strCache>
            </c:strRef>
          </c:cat>
          <c:val>
            <c:numRef>
              <c:f>'pie chart'!$B$5:$B$9</c:f>
              <c:numCache>
                <c:formatCode>0.00%</c:formatCode>
                <c:ptCount val="4"/>
                <c:pt idx="0">
                  <c:v>0.53111327175498302</c:v>
                </c:pt>
                <c:pt idx="1">
                  <c:v>0.37190082644628097</c:v>
                </c:pt>
                <c:pt idx="2">
                  <c:v>8.4832280019445788E-2</c:v>
                </c:pt>
                <c:pt idx="3">
                  <c:v>1.2153621779290228E-2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AD52-4AF5-A5C9-6390167F1CF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CHong</dc:creator>
  <cp:keywords/>
  <dc:description/>
  <cp:lastModifiedBy>Jason CHong</cp:lastModifiedBy>
  <cp:revision>2</cp:revision>
  <dcterms:created xsi:type="dcterms:W3CDTF">2018-01-23T05:57:00Z</dcterms:created>
  <dcterms:modified xsi:type="dcterms:W3CDTF">2018-01-26T08:07:00Z</dcterms:modified>
</cp:coreProperties>
</file>