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Writers grading: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85–100 strong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70–84  Competent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50–69  Weak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&lt;50 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(30)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&amp; Sources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(20)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(20)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Counterargument (15)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Style, Precision ,Tone(15)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(100)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Minsu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Elif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Bianca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MTO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Cindy: lack of subheadings, very report style - lack of originality because the references to the papers are used too much, no critique.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Minsu: no subheadings - makes it more difficult to read, no clear thesis, the vocab could be improved, no references to the sources in the text, repetitive phrasing (“people create”, “these theories”), grammar issues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Elif:  no subheadings, no drawbacks mentioned, pretty superficial content,</w:t>
      </w:r>
      <w:r w:rsidDel="00000000" w:rsidR="00000000" w:rsidRPr="00000000">
        <w:rPr>
          <w:b w:val="1"/>
          <w:bCs w:val="1"/>
          <w:rtl w:val="0"/>
        </w:rPr>
        <w:t xml:space="preserve"> academic dishonesty - alleged word count fraud (not included in the marking)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Bianca: over-reliance on videos in the reference list, no limitations listed, Merriam-Webster definition is fine but slightly basic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Mai: overall a very good essay, the only major issue is incompleteness (no conclusion and the section is missed) - lower grade for structure and argument, some minor grammar issues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MTO: no subheadings, evidence is referenced broadly - better to tie them to specific claims, paragraphs are long and a bit unfocused which is amplified by the lack of subheadings, overly verbose and abstract - unnecessary and makes it harder to follow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