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 Unicode MS" w:hAnsi="Arial Unicode MS" w:eastAsia="Arial Unicode MS"/>
          <w:b/>
          <w:color w:val="5A6470"/>
          <w:sz w:val="20"/>
        </w:rPr>
        <w:t>培养方案</w:t>
      </w:r>
    </w:p>
    <w:p>
      <w:pPr>
        <w:spacing w:after="120"/>
      </w:pPr>
      <w:r>
        <w:rPr>
          <w:rFonts w:ascii="Arial Unicode MS" w:hAnsi="Arial Unicode MS" w:eastAsia="Arial Unicode MS"/>
          <w:b/>
          <w:color w:val="0B2545"/>
          <w:sz w:val="46"/>
        </w:rPr>
        <w:t>新入职大学生向 FDE 工程师转型的 6 个月培养计划</w:t>
      </w:r>
    </w:p>
    <w:p>
      <w:pPr>
        <w:spacing w:after="240"/>
      </w:pPr>
      <w:r>
        <w:rPr>
          <w:rFonts w:ascii="Arial Unicode MS" w:hAnsi="Arial Unicode MS" w:eastAsia="Arial Unicode MS"/>
          <w:color w:val="5A6470"/>
          <w:sz w:val="26"/>
        </w:rPr>
        <w:t>面向智能应用（Agent）开发、LLM 工程化、集团数据资产建设、知识库与大数据技术平台融合实践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项目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说明</w:t>
            </w:r>
          </w:p>
        </w:tc>
      </w:tr>
      <w:tr>
        <w:tc>
          <w:tcPr>
            <w:tcW w:type="dxa" w:w="18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培养对象</w:t>
            </w:r>
          </w:p>
        </w:tc>
        <w:tc>
          <w:tcPr>
            <w:tcW w:type="dxa" w:w="756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新入职大学毕业生；具备基础编程能力，缺少工程化、架构和客户现场经验</w:t>
            </w:r>
          </w:p>
        </w:tc>
      </w:tr>
      <w:tr>
        <w:tc>
          <w:tcPr>
            <w:tcW w:type="dxa" w:w="18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培养目标</w:t>
            </w:r>
          </w:p>
        </w:tc>
        <w:tc>
          <w:tcPr>
            <w:tcW w:type="dxa" w:w="756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6 个月内具备 FDE 初级独立交付能力：能理解业务问题、设计智能应用方案、搭建 Agent 原型、接入知识库和数据平台，并用工程证据说明交付质量</w:t>
            </w:r>
          </w:p>
        </w:tc>
      </w:tr>
      <w:tr>
        <w:tc>
          <w:tcPr>
            <w:tcW w:type="dxa" w:w="18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核心项目载体</w:t>
            </w:r>
          </w:p>
        </w:tc>
        <w:tc>
          <w:tcPr>
            <w:tcW w:type="dxa" w:w="756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Skill-Framework 本地知识库、AgentLoop 构建复盘、PI Agent / OpenCode 设计理念、宝武数据资产全景链路、大数据平台与知识库驱动的 Agent 应用</w:t>
            </w:r>
          </w:p>
        </w:tc>
      </w:tr>
      <w:tr>
        <w:tc>
          <w:tcPr>
            <w:tcW w:type="dxa" w:w="18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带教方式</w:t>
            </w:r>
          </w:p>
        </w:tc>
        <w:tc>
          <w:tcPr>
            <w:tcW w:type="dxa" w:w="756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每周学习输入 + 代码走读 + 小任务实战 + 复盘评审；每月形成可验收交付物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color w:val="1F4D78"/>
                <w:sz w:val="21"/>
              </w:rPr>
              <w:t>总体培养原则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不要把她培养成只会调 Prompt 的使用者，而要培养成能把业务目标、数据事实、LLM 能力、工具执行、运行证据和交付验收串成闭环的 FDE 工程师。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一、FDE 胜任力画像</w:t>
      </w:r>
    </w:p>
    <w:p>
      <w:pPr/>
      <w:r>
        <w:rPr>
          <w:rFonts w:ascii="Arial Unicode MS" w:hAnsi="Arial Unicode MS" w:eastAsia="Arial Unicode MS"/>
        </w:rPr>
        <w:t>FDE（Forward Deployed Engineer）的关键能力不是单点技术深度，而是在客户现场或业务一线把问题转化为可运行、可验证、可迭代的智能应用。培养应同时覆盖工程基础、LLM 应用开发、数据与知识工程、架构诊断、交付沟通和业务理解。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00"/>
        <w:gridCol w:w="3800"/>
        <w:gridCol w:w="3960"/>
      </w:tblGrid>
      <w:tr>
        <w:trPr>
          <w:tblHeader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能力域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培养内容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6 个月目标表现</w:t>
            </w:r>
          </w:p>
        </w:tc>
      </w:tr>
      <w:tr>
        <w:tc>
          <w:tcPr>
            <w:tcW w:type="dxa" w:w="16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业务理解</w:t>
            </w:r>
          </w:p>
        </w:tc>
        <w:tc>
          <w:tcPr>
            <w:tcW w:type="dxa" w:w="38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能访谈、抽象流程、识别价值点与约束</w:t>
            </w:r>
          </w:p>
        </w:tc>
        <w:tc>
          <w:tcPr>
            <w:tcW w:type="dxa" w:w="396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能把模糊需求转成任务边界、成功标准和验收样例</w:t>
            </w:r>
          </w:p>
        </w:tc>
      </w:tr>
      <w:tr>
        <w:tc>
          <w:tcPr>
            <w:tcW w:type="dxa" w:w="16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工程基础</w:t>
            </w:r>
          </w:p>
        </w:tc>
        <w:tc>
          <w:tcPr>
            <w:tcW w:type="dxa" w:w="38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TypeScript/Python、API、数据库、测试、Git</w:t>
            </w:r>
          </w:p>
        </w:tc>
        <w:tc>
          <w:tcPr>
            <w:tcW w:type="dxa" w:w="396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能独立完成小模块开发、写测试、提交可审查 PR</w:t>
            </w:r>
          </w:p>
        </w:tc>
      </w:tr>
      <w:tr>
        <w:tc>
          <w:tcPr>
            <w:tcW w:type="dxa" w:w="16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LLM 应用</w:t>
            </w:r>
          </w:p>
        </w:tc>
        <w:tc>
          <w:tcPr>
            <w:tcW w:type="dxa" w:w="38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Prompt、Function Calling、Agent Loop、评估</w:t>
            </w:r>
          </w:p>
        </w:tc>
        <w:tc>
          <w:tcPr>
            <w:tcW w:type="dxa" w:w="396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能设计 Plan-first 或工具驱动 Agent 原型，并解释失败原因</w:t>
            </w:r>
          </w:p>
        </w:tc>
      </w:tr>
      <w:tr>
        <w:tc>
          <w:tcPr>
            <w:tcW w:type="dxa" w:w="16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知识工程</w:t>
            </w:r>
          </w:p>
        </w:tc>
        <w:tc>
          <w:tcPr>
            <w:tcW w:type="dxa" w:w="38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本地知识库、文档抽取、向量/关键词检索、RAG</w:t>
            </w:r>
          </w:p>
        </w:tc>
        <w:tc>
          <w:tcPr>
            <w:tcW w:type="dxa" w:w="396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能构建小型知识库并给出检索质量分析</w:t>
            </w:r>
          </w:p>
        </w:tc>
      </w:tr>
      <w:tr>
        <w:tc>
          <w:tcPr>
            <w:tcW w:type="dxa" w:w="16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数据资产</w:t>
            </w:r>
          </w:p>
        </w:tc>
        <w:tc>
          <w:tcPr>
            <w:tcW w:type="dxa" w:w="38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数据域、业务对象、收数标准、治数标准、数据元、ODS/CDM、血缘、入湖链路</w:t>
            </w:r>
          </w:p>
        </w:tc>
        <w:tc>
          <w:tcPr>
            <w:tcW w:type="dxa" w:w="396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能按集团数据资产全景链路梳理一个数据域，并说明资产建设状态、标准缺口和应用价值</w:t>
            </w:r>
          </w:p>
        </w:tc>
      </w:tr>
      <w:tr>
        <w:tc>
          <w:tcPr>
            <w:tcW w:type="dxa" w:w="16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数据平台</w:t>
            </w:r>
          </w:p>
        </w:tc>
        <w:tc>
          <w:tcPr>
            <w:tcW w:type="dxa" w:w="38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SQL、ETL、指标、权限、数据血缘、批处理</w:t>
            </w:r>
          </w:p>
        </w:tc>
        <w:tc>
          <w:tcPr>
            <w:tcW w:type="dxa" w:w="396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能接入业务数据，形成可追溯数据事实供 Agent 使用</w:t>
            </w:r>
          </w:p>
        </w:tc>
      </w:tr>
      <w:tr>
        <w:tc>
          <w:tcPr>
            <w:tcW w:type="dxa" w:w="16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交付与复盘</w:t>
            </w:r>
          </w:p>
        </w:tc>
        <w:tc>
          <w:tcPr>
            <w:tcW w:type="dxa" w:w="38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演示、验收、运行证据、问题定位</w:t>
            </w:r>
          </w:p>
        </w:tc>
        <w:tc>
          <w:tcPr>
            <w:tcW w:type="dxa" w:w="396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能用事实说明系统做了什么、为什么失败、如何修复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二、6 个月总体路线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000"/>
        <w:gridCol w:w="2500"/>
        <w:gridCol w:w="5860"/>
      </w:tblGrid>
      <w:tr>
        <w:trPr>
          <w:tblHeader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月份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主题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阶段目标</w:t>
            </w:r>
          </w:p>
        </w:tc>
      </w:tr>
      <w:tr>
        <w:tc>
          <w:tcPr>
            <w:tcW w:type="dxa" w:w="10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第 1 月</w:t>
            </w:r>
          </w:p>
        </w:tc>
        <w:tc>
          <w:tcPr>
            <w:tcW w:type="dxa" w:w="25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工程基本功与项目认知</w:t>
            </w:r>
          </w:p>
        </w:tc>
        <w:tc>
          <w:tcPr>
            <w:tcW w:type="dxa" w:w="586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读懂仓库结构、运行本地服务、掌握 Git/测试/日志/数据库基本操作</w:t>
            </w:r>
          </w:p>
        </w:tc>
      </w:tr>
      <w:tr>
        <w:tc>
          <w:tcPr>
            <w:tcW w:type="dxa" w:w="10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第 2 月</w:t>
            </w:r>
          </w:p>
        </w:tc>
        <w:tc>
          <w:tcPr>
            <w:tcW w:type="dxa" w:w="25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LLM 与 Agent 基础</w:t>
            </w:r>
          </w:p>
        </w:tc>
        <w:tc>
          <w:tcPr>
            <w:tcW w:type="dxa" w:w="586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理解 Function Calling、Tool、Plan、Assessment；完成一个最小 Agent 工具链</w:t>
            </w:r>
          </w:p>
        </w:tc>
      </w:tr>
      <w:tr>
        <w:tc>
          <w:tcPr>
            <w:tcW w:type="dxa" w:w="10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第 3 月</w:t>
            </w:r>
          </w:p>
        </w:tc>
        <w:tc>
          <w:tcPr>
            <w:tcW w:type="dxa" w:w="25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集团数据资产建设 + 知识库/RAG 实战</w:t>
            </w:r>
          </w:p>
        </w:tc>
        <w:tc>
          <w:tcPr>
            <w:tcW w:type="dxa" w:w="586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学习宝武数据资产全景链路和 Skill-Framework 本地知识库，完成数据域盘点、资料入库、检索回答和评估闭环</w:t>
            </w:r>
          </w:p>
        </w:tc>
      </w:tr>
      <w:tr>
        <w:tc>
          <w:tcPr>
            <w:tcW w:type="dxa" w:w="10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第 4 月</w:t>
            </w:r>
          </w:p>
        </w:tc>
        <w:tc>
          <w:tcPr>
            <w:tcW w:type="dxa" w:w="25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AgentLoop 深度理解</w:t>
            </w:r>
          </w:p>
        </w:tc>
        <w:tc>
          <w:tcPr>
            <w:tcW w:type="dxa" w:w="586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复盘 AgentLoop 的 Plan-first、Skill、证据、Terminal Committer 和恢复设计</w:t>
            </w:r>
          </w:p>
        </w:tc>
      </w:tr>
      <w:tr>
        <w:tc>
          <w:tcPr>
            <w:tcW w:type="dxa" w:w="10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第 5 月</w:t>
            </w:r>
          </w:p>
        </w:tc>
        <w:tc>
          <w:tcPr>
            <w:tcW w:type="dxa" w:w="25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大数据平台融合</w:t>
            </w:r>
          </w:p>
        </w:tc>
        <w:tc>
          <w:tcPr>
            <w:tcW w:type="dxa" w:w="586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把 SQL/指标/数据集接入 Agent，完成数据问答或智能分析应用</w:t>
            </w:r>
          </w:p>
        </w:tc>
      </w:tr>
      <w:tr>
        <w:tc>
          <w:tcPr>
            <w:tcW w:type="dxa" w:w="10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第 6 月</w:t>
            </w:r>
          </w:p>
        </w:tc>
        <w:tc>
          <w:tcPr>
            <w:tcW w:type="dxa" w:w="25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综合交付与 FDE 演练</w:t>
            </w:r>
          </w:p>
        </w:tc>
        <w:tc>
          <w:tcPr>
            <w:tcW w:type="dxa" w:w="586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独立完成一个端到端 Agent 应用，从需求访谈到演示、验收、复盘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三、集团数据资产建设学习重点</w:t>
      </w:r>
    </w:p>
    <w:p>
      <w:pPr/>
      <w:r>
        <w:rPr>
          <w:rFonts w:ascii="Arial Unicode MS" w:hAnsi="Arial Unicode MS" w:eastAsia="Arial Unicode MS"/>
        </w:rPr>
        <w:t>结合《宝武数据资产全景链路》页面，第 3 个月需要把知识库学习前置到集团数据资产建设语境中：先理解数据资产中心如何按业务分类、数据域、系统、标准、入湖和血缘组织数据事实，再思考这些事实如何成为 Agent 的可信上下文。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00"/>
        <w:gridCol w:w="4300"/>
        <w:gridCol w:w="3460"/>
      </w:tblGrid>
      <w:tr>
        <w:trPr>
          <w:tblHeader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学习主题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从 HTML 提炼的事实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训练要求</w:t>
            </w:r>
          </w:p>
        </w:tc>
      </w:tr>
      <w:tr>
        <w:tc>
          <w:tcPr>
            <w:tcW w:type="dxa" w:w="16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全景框架</w:t>
            </w:r>
          </w:p>
        </w:tc>
        <w:tc>
          <w:tcPr>
            <w:tcW w:type="dxa" w:w="43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覆盖 7 大业务分类、26 个数据域，包含经营管理、生产运营、人力资源、科研创新、治理风控、党群行政、数据基础等视角</w:t>
            </w:r>
          </w:p>
        </w:tc>
        <w:tc>
          <w:tcPr>
            <w:tcW w:type="dxa" w:w="346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能画出“业务分类 -&gt; 数据域 -&gt; 业务对象 -&gt; 表/属性 -&gt; 数据资产”的层级图</w:t>
            </w:r>
          </w:p>
        </w:tc>
      </w:tr>
      <w:tr>
        <w:tc>
          <w:tcPr>
            <w:tcW w:type="dxa" w:w="16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收数标准</w:t>
            </w:r>
          </w:p>
        </w:tc>
        <w:tc>
          <w:tcPr>
            <w:tcW w:type="dxa" w:w="43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页面统计口径包含 246 个业务对象、684 张表、12628 个属性，用于说明源头数据采集和对象化管理</w:t>
            </w:r>
          </w:p>
        </w:tc>
        <w:tc>
          <w:tcPr>
            <w:tcW w:type="dxa" w:w="346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任选一个数据域，整理业务对象、表、属性和源头系统关系</w:t>
            </w:r>
          </w:p>
        </w:tc>
      </w:tr>
      <w:tr>
        <w:tc>
          <w:tcPr>
            <w:tcW w:type="dxa" w:w="16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治数标准</w:t>
            </w:r>
          </w:p>
        </w:tc>
        <w:tc>
          <w:tcPr>
            <w:tcW w:type="dxa" w:w="43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页面展示业务对象、语义标准、数据元等治理对象；数据元统计约 2528 个，强调标准、口径、分级和发布状态</w:t>
            </w:r>
          </w:p>
        </w:tc>
        <w:tc>
          <w:tcPr>
            <w:tcW w:type="dxa" w:w="346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能解释数据元、业务对象、语义标准、数据安全等级之间的关系</w:t>
            </w:r>
          </w:p>
        </w:tc>
      </w:tr>
      <w:tr>
        <w:tc>
          <w:tcPr>
            <w:tcW w:type="dxa" w:w="16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数据资产与血缘</w:t>
            </w:r>
          </w:p>
        </w:tc>
        <w:tc>
          <w:tcPr>
            <w:tcW w:type="dxa" w:w="43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资产层呈现 ODS 表、CDM 表、血缘条数和从源头系统到入湖分区再到模型表的链路</w:t>
            </w:r>
          </w:p>
        </w:tc>
        <w:tc>
          <w:tcPr>
            <w:tcW w:type="dxa" w:w="346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能用一个样例说明源系统 -&gt; ODS -&gt; CDM -&gt; 指标/应用的血缘路径</w:t>
            </w:r>
          </w:p>
        </w:tc>
      </w:tr>
      <w:tr>
        <w:tc>
          <w:tcPr>
            <w:tcW w:type="dxa" w:w="16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建设状态</w:t>
            </w:r>
          </w:p>
        </w:tc>
        <w:tc>
          <w:tcPr>
            <w:tcW w:type="dxa" w:w="43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页面按 2025 建设、2026 建设、待数据汇聚等状态筛选，体现分阶段推进和资产成熟度差异</w:t>
            </w:r>
          </w:p>
        </w:tc>
        <w:tc>
          <w:tcPr>
            <w:tcW w:type="dxa" w:w="346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能识别哪些数据域已具备 Agent 应用基础，哪些还缺少汇聚、标准或血缘证据</w:t>
            </w:r>
          </w:p>
        </w:tc>
      </w:tr>
      <w:tr>
        <w:tc>
          <w:tcPr>
            <w:tcW w:type="dxa" w:w="16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Agent 结合点</w:t>
            </w:r>
          </w:p>
        </w:tc>
        <w:tc>
          <w:tcPr>
            <w:tcW w:type="dxa" w:w="43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数据资产事实可以进入知识库、数据查询工具、指标解释、血缘追溯和权限判断</w:t>
            </w:r>
          </w:p>
        </w:tc>
        <w:tc>
          <w:tcPr>
            <w:tcW w:type="dxa" w:w="346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能设计一个数据资产问答 Agent：回答必须带数据域、来源、标准或血缘证据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四、月度详细培养计划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第 1 月：工程基本功与项目认知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7860"/>
      </w:tblGrid>
      <w:tr>
        <w:trPr>
          <w:tblHeader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项目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内容</w:t>
            </w:r>
          </w:p>
        </w:tc>
      </w:tr>
      <w:tr>
        <w:tc>
          <w:tcPr>
            <w:tcW w:type="dxa" w:w="15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阶段目标</w:t>
            </w:r>
          </w:p>
        </w:tc>
        <w:tc>
          <w:tcPr>
            <w:tcW w:type="dxa" w:w="786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建立工程工作方式，能够在真实仓库中定位代码、运行测试、阅读日志、查数据库、写小改动。</w:t>
            </w:r>
          </w:p>
        </w:tc>
      </w:tr>
      <w:tr>
        <w:tc>
          <w:tcPr>
            <w:tcW w:type="dxa" w:w="15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学习输入</w:t>
            </w:r>
          </w:p>
        </w:tc>
        <w:tc>
          <w:tcPr>
            <w:tcW w:type="dxa" w:w="786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TypeScript / Python 基础复盘；HTTP API、SQLite/PostgreSQL、Git 分支与提交规范；AgentLoop README、ARCHITECTURE、UPSTREAM-RESEARCH。</w:t>
            </w:r>
          </w:p>
        </w:tc>
      </w:tr>
      <w:tr>
        <w:tc>
          <w:tcPr>
            <w:tcW w:type="dxa" w:w="15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实战任务</w:t>
            </w:r>
          </w:p>
        </w:tc>
        <w:tc>
          <w:tcPr>
            <w:tcW w:type="dxa" w:w="786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拉起 AgentLoop 本地环境；完成一次 Run 的 API 调用；从数据库和事件日志追踪一次运行；修一个低风险 UI 或文案问题并写测试。</w:t>
            </w:r>
          </w:p>
        </w:tc>
      </w:tr>
      <w:tr>
        <w:tc>
          <w:tcPr>
            <w:tcW w:type="dxa" w:w="15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交付物</w:t>
            </w:r>
          </w:p>
        </w:tc>
        <w:tc>
          <w:tcPr>
            <w:tcW w:type="dxa" w:w="786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《AgentLoop 项目结构走读笔记》；一次小 PR；一次 15 分钟口头讲解：用户请求如何进入 Run。</w:t>
            </w:r>
          </w:p>
        </w:tc>
      </w:tr>
      <w:tr>
        <w:tc>
          <w:tcPr>
            <w:tcW w:type="dxa" w:w="15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验收标准</w:t>
            </w:r>
          </w:p>
        </w:tc>
        <w:tc>
          <w:tcPr>
            <w:tcW w:type="dxa" w:w="786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能说明 API、RunService、Planner、AgentLoop、Tool、Repository 的基本职责；PR 通过测试和 code review。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第 2 月：LLM 应用与 Agent 基础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7860"/>
      </w:tblGrid>
      <w:tr>
        <w:trPr>
          <w:tblHeader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项目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内容</w:t>
            </w:r>
          </w:p>
        </w:tc>
      </w:tr>
      <w:tr>
        <w:tc>
          <w:tcPr>
            <w:tcW w:type="dxa" w:w="15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阶段目标</w:t>
            </w:r>
          </w:p>
        </w:tc>
        <w:tc>
          <w:tcPr>
            <w:tcW w:type="dxa" w:w="786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从“会用模型”转向“理解模型如何在受控边界内调用工具并形成证据”。</w:t>
            </w:r>
          </w:p>
        </w:tc>
      </w:tr>
      <w:tr>
        <w:tc>
          <w:tcPr>
            <w:tcW w:type="dxa" w:w="15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学习输入</w:t>
            </w:r>
          </w:p>
        </w:tc>
        <w:tc>
          <w:tcPr>
            <w:tcW w:type="dxa" w:w="786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Function Calling / Tool Calling；Prompt 与结构化输出；PI Agent 的会话追加和工具回填思想；OpenCode 的动态权限与 Skill 加载思想。</w:t>
            </w:r>
          </w:p>
        </w:tc>
      </w:tr>
      <w:tr>
        <w:tc>
          <w:tcPr>
            <w:tcW w:type="dxa" w:w="15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实战任务</w:t>
            </w:r>
          </w:p>
        </w:tc>
        <w:tc>
          <w:tcPr>
            <w:tcW w:type="dxa" w:w="786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实现一个最小工具：例如文本摘要、文件读取或网页抓取模拟工具；为工具补 schema、权限说明、错误返回和测试；对比 ReAct 与 Plan-first 的差异。</w:t>
            </w:r>
          </w:p>
        </w:tc>
      </w:tr>
      <w:tr>
        <w:tc>
          <w:tcPr>
            <w:tcW w:type="dxa" w:w="15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交付物</w:t>
            </w:r>
          </w:p>
        </w:tc>
        <w:tc>
          <w:tcPr>
            <w:tcW w:type="dxa" w:w="786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《最小 Agent 工具链实验报告》；一个可运行 demo；一次失败案例复盘。</w:t>
            </w:r>
          </w:p>
        </w:tc>
      </w:tr>
      <w:tr>
        <w:tc>
          <w:tcPr>
            <w:tcW w:type="dxa" w:w="15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验收标准</w:t>
            </w:r>
          </w:p>
        </w:tc>
        <w:tc>
          <w:tcPr>
            <w:tcW w:type="dxa" w:w="786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能解释工具 schema、模型 tool call、ToolResult、错误处理、重试和预算之间的关系；不会把模型文本当成真实工具调用。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第 3 月：集团数据资产建设 + 知识库/RAG 实战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7860"/>
      </w:tblGrid>
      <w:tr>
        <w:trPr>
          <w:tblHeader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项目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内容</w:t>
            </w:r>
          </w:p>
        </w:tc>
      </w:tr>
      <w:tr>
        <w:tc>
          <w:tcPr>
            <w:tcW w:type="dxa" w:w="15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阶段目标</w:t>
            </w:r>
          </w:p>
        </w:tc>
        <w:tc>
          <w:tcPr>
            <w:tcW w:type="dxa" w:w="786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掌握集团数据资产建设的基本链路，并把数据域、业务对象、标准、血缘和资料知识库转化为 Agent 可引用的可信上下文。</w:t>
            </w:r>
          </w:p>
        </w:tc>
      </w:tr>
      <w:tr>
        <w:tc>
          <w:tcPr>
            <w:tcW w:type="dxa" w:w="15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学习输入</w:t>
            </w:r>
          </w:p>
        </w:tc>
        <w:tc>
          <w:tcPr>
            <w:tcW w:type="dxa" w:w="786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宝武数据资产全景链路页面；7 大业务分类、26 个数据域；收数标准、治数标准、数据元、ODS/CDM、血缘、入湖链路；Skill-Framework 本地知识库实现；关键词检索、向量检索、混合检索。</w:t>
            </w:r>
          </w:p>
        </w:tc>
      </w:tr>
      <w:tr>
        <w:tc>
          <w:tcPr>
            <w:tcW w:type="dxa" w:w="15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实战任务</w:t>
            </w:r>
          </w:p>
        </w:tc>
        <w:tc>
          <w:tcPr>
            <w:tcW w:type="dxa" w:w="786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任选 1-2 个数据域（建议从集团数智域、集团主数据域、集团财务域、集团采购域中选择），完成数据资产盘点：归口部门、日常管理部门、源头系统、收数标准、治数标准、数据资产/血缘、建设状态；再把相关资料和盘点结果入库，构建一个“数据资产问答 Agent”原型。</w:t>
            </w:r>
          </w:p>
        </w:tc>
      </w:tr>
      <w:tr>
        <w:tc>
          <w:tcPr>
            <w:tcW w:type="dxa" w:w="15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交付物</w:t>
            </w:r>
          </w:p>
        </w:tc>
        <w:tc>
          <w:tcPr>
            <w:tcW w:type="dxa" w:w="786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《集团数据资产链路学习与盘点报告》；一个数据域资产卡片；本地知识库 demo；10 条标准问答集和评估结果；至少 3 条带来源/标准/血缘证据的回答样例。</w:t>
            </w:r>
          </w:p>
        </w:tc>
      </w:tr>
      <w:tr>
        <w:tc>
          <w:tcPr>
            <w:tcW w:type="dxa" w:w="15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验收标准</w:t>
            </w:r>
          </w:p>
        </w:tc>
        <w:tc>
          <w:tcPr>
            <w:tcW w:type="dxa" w:w="786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回答必须带来源；能区分“资料缺口、标准缺口、血缘缺口、权限缺口”；能说明数据域到业务对象、表、数据元、ODS/CDM 和应用场景的关系；能用样例驱动检索与知识组织优化，而不是只改 Prompt。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第 4 月：AgentLoop 深度理解与运行证据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7860"/>
      </w:tblGrid>
      <w:tr>
        <w:trPr>
          <w:tblHeader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项目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内容</w:t>
            </w:r>
          </w:p>
        </w:tc>
      </w:tr>
      <w:tr>
        <w:tc>
          <w:tcPr>
            <w:tcW w:type="dxa" w:w="15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阶段目标</w:t>
            </w:r>
          </w:p>
        </w:tc>
        <w:tc>
          <w:tcPr>
            <w:tcW w:type="dxa" w:w="786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理解 AgentLoop 构建中的关键工程边界，能诊断一个 Run 为什么失败或为什么不能算完成。</w:t>
            </w:r>
          </w:p>
        </w:tc>
      </w:tr>
      <w:tr>
        <w:tc>
          <w:tcPr>
            <w:tcW w:type="dxa" w:w="15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学习输入</w:t>
            </w:r>
          </w:p>
        </w:tc>
        <w:tc>
          <w:tcPr>
            <w:tcW w:type="dxa" w:w="786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Plan-first、Admission、Capability Grant、Skill 按需激活、Context Assembler、Assessment、Terminal Committer、runtime actions / recovery 设计。</w:t>
            </w:r>
          </w:p>
        </w:tc>
      </w:tr>
      <w:tr>
        <w:tc>
          <w:tcPr>
            <w:tcW w:type="dxa" w:w="15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实战任务</w:t>
            </w:r>
          </w:p>
        </w:tc>
        <w:tc>
          <w:tcPr>
            <w:tcW w:type="dxa" w:w="786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任选 2 个成功 Run 和 2 个失败 Run，追踪 Plan、Step、ToolResult、Assessment、Outcome；复盘 Artifact 已生成但不能完成的原因；画出 AgentLoop 运行链路图。</w:t>
            </w:r>
          </w:p>
        </w:tc>
      </w:tr>
      <w:tr>
        <w:tc>
          <w:tcPr>
            <w:tcW w:type="dxa" w:w="15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交付物</w:t>
            </w:r>
          </w:p>
        </w:tc>
        <w:tc>
          <w:tcPr>
            <w:tcW w:type="dxa" w:w="786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《AgentLoop 运行证据链诊断报告》；一张架构/时序图；一次 30 分钟技术分享。</w:t>
            </w:r>
          </w:p>
        </w:tc>
      </w:tr>
      <w:tr>
        <w:tc>
          <w:tcPr>
            <w:tcW w:type="dxa" w:w="15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验收标准</w:t>
            </w:r>
          </w:p>
        </w:tc>
        <w:tc>
          <w:tcPr>
            <w:tcW w:type="dxa" w:w="786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能明确说明：Tool 成功、Artifact、UI/SSE、模型文本都不是完成；完成必须经过 Assessment 和 Terminal Committer。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第 5 月：大数据技术平台与 Agent 融合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7860"/>
      </w:tblGrid>
      <w:tr>
        <w:trPr>
          <w:tblHeader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项目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内容</w:t>
            </w:r>
          </w:p>
        </w:tc>
      </w:tr>
      <w:tr>
        <w:tc>
          <w:tcPr>
            <w:tcW w:type="dxa" w:w="15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阶段目标</w:t>
            </w:r>
          </w:p>
        </w:tc>
        <w:tc>
          <w:tcPr>
            <w:tcW w:type="dxa" w:w="786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把 Agent 从文档问答推进到数据事实驱动的分析和行动建议。</w:t>
            </w:r>
          </w:p>
        </w:tc>
      </w:tr>
      <w:tr>
        <w:tc>
          <w:tcPr>
            <w:tcW w:type="dxa" w:w="15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学习输入</w:t>
            </w:r>
          </w:p>
        </w:tc>
        <w:tc>
          <w:tcPr>
            <w:tcW w:type="dxa" w:w="786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SQL、数据仓库/湖仓基本概念、指标口径、数据权限、数据血缘、批处理与流式数据；Agent 读取结构化数据的安全边界。</w:t>
            </w:r>
          </w:p>
        </w:tc>
      </w:tr>
      <w:tr>
        <w:tc>
          <w:tcPr>
            <w:tcW w:type="dxa" w:w="15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实战任务</w:t>
            </w:r>
          </w:p>
        </w:tc>
        <w:tc>
          <w:tcPr>
            <w:tcW w:type="dxa" w:w="786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构建一个小型业务数据集；设计指标字典；实现自然语言问题到 SQL/查询计划的受控流程；让 Agent 基于数据与知识库共同生成分析报告。</w:t>
            </w:r>
          </w:p>
        </w:tc>
      </w:tr>
      <w:tr>
        <w:tc>
          <w:tcPr>
            <w:tcW w:type="dxa" w:w="15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交付物</w:t>
            </w:r>
          </w:p>
        </w:tc>
        <w:tc>
          <w:tcPr>
            <w:tcW w:type="dxa" w:w="786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《数据驱动 Agent 应用方案》；一个数据问答或经营分析 Agent demo；指标口径说明和测试样例。</w:t>
            </w:r>
          </w:p>
        </w:tc>
      </w:tr>
      <w:tr>
        <w:tc>
          <w:tcPr>
            <w:tcW w:type="dxa" w:w="15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验收标准</w:t>
            </w:r>
          </w:p>
        </w:tc>
        <w:tc>
          <w:tcPr>
            <w:tcW w:type="dxa" w:w="786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能解释数据来源、字段含义、查询权限、异常值处理和结论证据；不能让模型随意编造数据口径。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第 6 月：综合项目交付与 FDE 演练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7860"/>
      </w:tblGrid>
      <w:tr>
        <w:trPr>
          <w:tblHeader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项目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内容</w:t>
            </w:r>
          </w:p>
        </w:tc>
      </w:tr>
      <w:tr>
        <w:tc>
          <w:tcPr>
            <w:tcW w:type="dxa" w:w="15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阶段目标</w:t>
            </w:r>
          </w:p>
        </w:tc>
        <w:tc>
          <w:tcPr>
            <w:tcW w:type="dxa" w:w="786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独立完成一个面向真实业务问题的智能应用小项目，完成从需求到验收的闭环。</w:t>
            </w:r>
          </w:p>
        </w:tc>
      </w:tr>
      <w:tr>
        <w:tc>
          <w:tcPr>
            <w:tcW w:type="dxa" w:w="15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学习输入</w:t>
            </w:r>
          </w:p>
        </w:tc>
        <w:tc>
          <w:tcPr>
            <w:tcW w:type="dxa" w:w="786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FDE 工作法：需求访谈、场景拆解、成功标准、MVP、演示、验收、上线风险、复盘；智能应用产品化约束。</w:t>
            </w:r>
          </w:p>
        </w:tc>
      </w:tr>
      <w:tr>
        <w:tc>
          <w:tcPr>
            <w:tcW w:type="dxa" w:w="15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实战任务</w:t>
            </w:r>
          </w:p>
        </w:tc>
        <w:tc>
          <w:tcPr>
            <w:tcW w:type="dxa" w:w="786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选择一个业务场景，例如制度知识问答、项目资料助手、数据分析助手、销售线索研判或运维诊断助手；完成需求访谈、方案、实现、演示和复盘。</w:t>
            </w:r>
          </w:p>
        </w:tc>
      </w:tr>
      <w:tr>
        <w:tc>
          <w:tcPr>
            <w:tcW w:type="dxa" w:w="15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交付物</w:t>
            </w:r>
          </w:p>
        </w:tc>
        <w:tc>
          <w:tcPr>
            <w:tcW w:type="dxa" w:w="786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端到端 Agent MVP；《需求与方案说明》；《测试与验收报告》；《上线风险与后续迭代清单》。</w:t>
            </w:r>
          </w:p>
        </w:tc>
      </w:tr>
      <w:tr>
        <w:tc>
          <w:tcPr>
            <w:tcW w:type="dxa" w:w="15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验收标准</w:t>
            </w:r>
          </w:p>
        </w:tc>
        <w:tc>
          <w:tcPr>
            <w:tcW w:type="dxa" w:w="786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能独立演示系统；能回答架构、数据、权限、失败处理和验收问题；代码和文档达到可交接标准。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五、每周带教节奏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00"/>
        <w:gridCol w:w="1900"/>
        <w:gridCol w:w="6260"/>
      </w:tblGrid>
      <w:tr>
        <w:trPr>
          <w:tblHeader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时间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动作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要求</w:t>
            </w:r>
          </w:p>
        </w:tc>
      </w:tr>
      <w:tr>
        <w:tc>
          <w:tcPr>
            <w:tcW w:type="dxa" w:w="12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周一</w:t>
            </w:r>
          </w:p>
        </w:tc>
        <w:tc>
          <w:tcPr>
            <w:tcW w:type="dxa" w:w="19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目标对齐</w:t>
            </w:r>
          </w:p>
        </w:tc>
        <w:tc>
          <w:tcPr>
            <w:tcW w:type="dxa" w:w="626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确认本周学习主题、实战任务、交付物和风险点；导师给出阅读清单和代码入口。</w:t>
            </w:r>
          </w:p>
        </w:tc>
      </w:tr>
      <w:tr>
        <w:tc>
          <w:tcPr>
            <w:tcW w:type="dxa" w:w="12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周二-周三</w:t>
            </w:r>
          </w:p>
        </w:tc>
        <w:tc>
          <w:tcPr>
            <w:tcW w:type="dxa" w:w="19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深度学习与代码走读</w:t>
            </w:r>
          </w:p>
        </w:tc>
        <w:tc>
          <w:tcPr>
            <w:tcW w:type="dxa" w:w="626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新人先读文档和代码，输出问题清单；导师安排 1 次代码走读，重点解释边界和设计取舍。</w:t>
            </w:r>
          </w:p>
        </w:tc>
      </w:tr>
      <w:tr>
        <w:tc>
          <w:tcPr>
            <w:tcW w:type="dxa" w:w="12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周四</w:t>
            </w:r>
          </w:p>
        </w:tc>
        <w:tc>
          <w:tcPr>
            <w:tcW w:type="dxa" w:w="19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实战实现</w:t>
            </w:r>
          </w:p>
        </w:tc>
        <w:tc>
          <w:tcPr>
            <w:tcW w:type="dxa" w:w="626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完成小任务或实验；必须有可运行命令、日志、测试或截图证据。</w:t>
            </w:r>
          </w:p>
        </w:tc>
      </w:tr>
      <w:tr>
        <w:tc>
          <w:tcPr>
            <w:tcW w:type="dxa" w:w="12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周五</w:t>
            </w:r>
          </w:p>
        </w:tc>
        <w:tc>
          <w:tcPr>
            <w:tcW w:type="dxa" w:w="19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复盘评审</w:t>
            </w:r>
          </w:p>
        </w:tc>
        <w:tc>
          <w:tcPr>
            <w:tcW w:type="dxa" w:w="626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新人讲解本周产出：做了什么、依据是什么、失败在哪里、下周如何改；导师给出评分和建议。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六、推荐项目任务池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100"/>
        <w:gridCol w:w="3200"/>
        <w:gridCol w:w="5060"/>
      </w:tblGrid>
      <w:tr>
        <w:trPr>
          <w:tblHeader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难度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任务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完成标准</w:t>
            </w:r>
          </w:p>
        </w:tc>
      </w:tr>
      <w:tr>
        <w:tc>
          <w:tcPr>
            <w:tcW w:type="dxa" w:w="11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入门</w:t>
            </w:r>
          </w:p>
        </w:tc>
        <w:tc>
          <w:tcPr>
            <w:tcW w:type="dxa" w:w="32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运行 AgentLoop 并追踪一次 Run</w:t>
            </w:r>
          </w:p>
        </w:tc>
        <w:tc>
          <w:tcPr>
            <w:tcW w:type="dxa" w:w="506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从 HTTP 请求、数据库、事件日志解释运行链路</w:t>
            </w:r>
          </w:p>
        </w:tc>
      </w:tr>
      <w:tr>
        <w:tc>
          <w:tcPr>
            <w:tcW w:type="dxa" w:w="11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入门</w:t>
            </w:r>
          </w:p>
        </w:tc>
        <w:tc>
          <w:tcPr>
            <w:tcW w:type="dxa" w:w="32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整理 PI Agent / OpenCode 设计对比</w:t>
            </w:r>
          </w:p>
        </w:tc>
        <w:tc>
          <w:tcPr>
            <w:tcW w:type="dxa" w:w="506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用 2 页文档说明二者对 AgentLoop 的启发</w:t>
            </w:r>
          </w:p>
        </w:tc>
      </w:tr>
      <w:tr>
        <w:tc>
          <w:tcPr>
            <w:tcW w:type="dxa" w:w="11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基础</w:t>
            </w:r>
          </w:p>
        </w:tc>
        <w:tc>
          <w:tcPr>
            <w:tcW w:type="dxa" w:w="32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为一个 Tool 补测试和错误处理</w:t>
            </w:r>
          </w:p>
        </w:tc>
        <w:tc>
          <w:tcPr>
            <w:tcW w:type="dxa" w:w="506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覆盖正常、参数错误、权限拒绝、超时或失败路径</w:t>
            </w:r>
          </w:p>
        </w:tc>
      </w:tr>
      <w:tr>
        <w:tc>
          <w:tcPr>
            <w:tcW w:type="dxa" w:w="11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基础</w:t>
            </w:r>
          </w:p>
        </w:tc>
        <w:tc>
          <w:tcPr>
            <w:tcW w:type="dxa" w:w="32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构建 20 篇文档的小知识库</w:t>
            </w:r>
          </w:p>
        </w:tc>
        <w:tc>
          <w:tcPr>
            <w:tcW w:type="dxa" w:w="506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支持提问、来源引用、失败样例记录</w:t>
            </w:r>
          </w:p>
        </w:tc>
      </w:tr>
      <w:tr>
        <w:tc>
          <w:tcPr>
            <w:tcW w:type="dxa" w:w="11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基础</w:t>
            </w:r>
          </w:p>
        </w:tc>
        <w:tc>
          <w:tcPr>
            <w:tcW w:type="dxa" w:w="32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制作一个集团数据域资产卡片</w:t>
            </w:r>
          </w:p>
        </w:tc>
        <w:tc>
          <w:tcPr>
            <w:tcW w:type="dxa" w:w="506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基于宝武数据资产全景链路，梳理归口部门、管理部门、源头系统、收数标准、治数标准、资产/血缘和建设状态</w:t>
            </w:r>
          </w:p>
        </w:tc>
      </w:tr>
      <w:tr>
        <w:tc>
          <w:tcPr>
            <w:tcW w:type="dxa" w:w="11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进阶</w:t>
            </w:r>
          </w:p>
        </w:tc>
        <w:tc>
          <w:tcPr>
            <w:tcW w:type="dxa" w:w="32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实现一个受控 read_source 原型</w:t>
            </w:r>
          </w:p>
        </w:tc>
        <w:tc>
          <w:tcPr>
            <w:tcW w:type="dxa" w:w="506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文件读取必须有 sourceId、chunk、权限和证据</w:t>
            </w:r>
          </w:p>
        </w:tc>
      </w:tr>
      <w:tr>
        <w:tc>
          <w:tcPr>
            <w:tcW w:type="dxa" w:w="11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进阶</w:t>
            </w:r>
          </w:p>
        </w:tc>
        <w:tc>
          <w:tcPr>
            <w:tcW w:type="dxa" w:w="32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分析一个失败 Run</w:t>
            </w:r>
          </w:p>
        </w:tc>
        <w:tc>
          <w:tcPr>
            <w:tcW w:type="dxa" w:w="506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定位第一处语义断点，不做场景定制修补</w:t>
            </w:r>
          </w:p>
        </w:tc>
      </w:tr>
      <w:tr>
        <w:tc>
          <w:tcPr>
            <w:tcW w:type="dxa" w:w="11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综合</w:t>
            </w:r>
          </w:p>
        </w:tc>
        <w:tc>
          <w:tcPr>
            <w:tcW w:type="dxa" w:w="32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数据资产问答 Agent</w:t>
            </w:r>
          </w:p>
        </w:tc>
        <w:tc>
          <w:tcPr>
            <w:tcW w:type="dxa" w:w="506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回答同时引用数据域、业务对象、数据元、血缘、知识库文档和 SQL 查询结果</w:t>
            </w:r>
          </w:p>
        </w:tc>
      </w:tr>
      <w:tr>
        <w:tc>
          <w:tcPr>
            <w:tcW w:type="dxa" w:w="11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综合</w:t>
            </w:r>
          </w:p>
        </w:tc>
        <w:tc>
          <w:tcPr>
            <w:tcW w:type="dxa" w:w="32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数据资产建设缺口分析</w:t>
            </w:r>
          </w:p>
        </w:tc>
        <w:tc>
          <w:tcPr>
            <w:tcW w:type="dxa" w:w="506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任选一个待汇聚或 2026 建设数据域，输出标准缺口、源系统缺口、血缘缺口和 Agent 应用可行性建议</w:t>
            </w:r>
          </w:p>
        </w:tc>
      </w:tr>
      <w:tr>
        <w:tc>
          <w:tcPr>
            <w:tcW w:type="dxa" w:w="11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综合</w:t>
            </w:r>
          </w:p>
        </w:tc>
        <w:tc>
          <w:tcPr>
            <w:tcW w:type="dxa" w:w="32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业务场景 Agent MVP</w:t>
            </w:r>
          </w:p>
        </w:tc>
        <w:tc>
          <w:tcPr>
            <w:tcW w:type="dxa" w:w="506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包含需求、设计、实现、测试、演示、复盘全套材料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七、评价机制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1000"/>
        <w:gridCol w:w="6560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评价项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权重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观察点</w:t>
            </w:r>
          </w:p>
        </w:tc>
      </w:tr>
      <w:tr>
        <w:tc>
          <w:tcPr>
            <w:tcW w:type="dxa" w:w="18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工程习惯</w:t>
            </w:r>
          </w:p>
        </w:tc>
        <w:tc>
          <w:tcPr>
            <w:tcW w:type="dxa" w:w="10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20%</w:t>
            </w:r>
          </w:p>
        </w:tc>
        <w:tc>
          <w:tcPr>
            <w:tcW w:type="dxa" w:w="656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提交小而清晰；会写测试；保留证据；不回滚无关修改；能解释代码影响面</w:t>
            </w:r>
          </w:p>
        </w:tc>
      </w:tr>
      <w:tr>
        <w:tc>
          <w:tcPr>
            <w:tcW w:type="dxa" w:w="18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架构理解</w:t>
            </w:r>
          </w:p>
        </w:tc>
        <w:tc>
          <w:tcPr>
            <w:tcW w:type="dxa" w:w="10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20%</w:t>
            </w:r>
          </w:p>
        </w:tc>
        <w:tc>
          <w:tcPr>
            <w:tcW w:type="dxa" w:w="656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能说清 Platform / Runtime / Executor / Tool / Skill / Evidence 的职责边界</w:t>
            </w:r>
          </w:p>
        </w:tc>
      </w:tr>
      <w:tr>
        <w:tc>
          <w:tcPr>
            <w:tcW w:type="dxa" w:w="18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LLM 应用能力</w:t>
            </w:r>
          </w:p>
        </w:tc>
        <w:tc>
          <w:tcPr>
            <w:tcW w:type="dxa" w:w="10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20%</w:t>
            </w:r>
          </w:p>
        </w:tc>
        <w:tc>
          <w:tcPr>
            <w:tcW w:type="dxa" w:w="656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能设计工具调用、结构化输出、RAG、评估与失败处理，不停留在 Prompt 调参</w:t>
            </w:r>
          </w:p>
        </w:tc>
      </w:tr>
      <w:tr>
        <w:tc>
          <w:tcPr>
            <w:tcW w:type="dxa" w:w="18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数据与知识能力</w:t>
            </w:r>
          </w:p>
        </w:tc>
        <w:tc>
          <w:tcPr>
            <w:tcW w:type="dxa" w:w="10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15%</w:t>
            </w:r>
          </w:p>
        </w:tc>
        <w:tc>
          <w:tcPr>
            <w:tcW w:type="dxa" w:w="656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能处理文档、检索、SQL、指标口径和来源引用；能理解数据域、业务对象、数据元、血缘和建设状态</w:t>
            </w:r>
          </w:p>
        </w:tc>
      </w:tr>
      <w:tr>
        <w:tc>
          <w:tcPr>
            <w:tcW w:type="dxa" w:w="18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FDE 交付能力</w:t>
            </w:r>
          </w:p>
        </w:tc>
        <w:tc>
          <w:tcPr>
            <w:tcW w:type="dxa" w:w="10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15%</w:t>
            </w:r>
          </w:p>
        </w:tc>
        <w:tc>
          <w:tcPr>
            <w:tcW w:type="dxa" w:w="656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能访谈、拆需求、做演示、回应质疑、形成验收材料</w:t>
            </w:r>
          </w:p>
        </w:tc>
      </w:tr>
      <w:tr>
        <w:tc>
          <w:tcPr>
            <w:tcW w:type="dxa" w:w="18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复盘成长</w:t>
            </w:r>
          </w:p>
        </w:tc>
        <w:tc>
          <w:tcPr>
            <w:tcW w:type="dxa" w:w="10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10%</w:t>
            </w:r>
          </w:p>
        </w:tc>
        <w:tc>
          <w:tcPr>
            <w:tcW w:type="dxa" w:w="656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能诚实记录失败原因，用事实驱动改进，不用口头解释替代证据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八、导师动作清单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7860"/>
      </w:tblGrid>
      <w:tr>
        <w:trPr>
          <w:tblHeader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周期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导师动作</w:t>
            </w:r>
          </w:p>
        </w:tc>
      </w:tr>
      <w:tr>
        <w:tc>
          <w:tcPr>
            <w:tcW w:type="dxa" w:w="15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第 1-2 周</w:t>
            </w:r>
          </w:p>
        </w:tc>
        <w:tc>
          <w:tcPr>
            <w:tcW w:type="dxa" w:w="786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给出代码入口和运行命令；不要直接讲完整答案，让新人先画链路图。</w:t>
            </w:r>
          </w:p>
        </w:tc>
      </w:tr>
      <w:tr>
        <w:tc>
          <w:tcPr>
            <w:tcW w:type="dxa" w:w="15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每周</w:t>
            </w:r>
          </w:p>
        </w:tc>
        <w:tc>
          <w:tcPr>
            <w:tcW w:type="dxa" w:w="786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检查学习笔记、代码 diff、测试结果和问题清单；要求所有结论能回到代码、文档或运行证据。</w:t>
            </w:r>
          </w:p>
        </w:tc>
      </w:tr>
      <w:tr>
        <w:tc>
          <w:tcPr>
            <w:tcW w:type="dxa" w:w="15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每月</w:t>
            </w:r>
          </w:p>
        </w:tc>
        <w:tc>
          <w:tcPr>
            <w:tcW w:type="dxa" w:w="786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安排一次正式评审：新人演示交付物，导师按能力矩阵评分并给出下月重点。</w:t>
            </w:r>
          </w:p>
        </w:tc>
      </w:tr>
      <w:tr>
        <w:tc>
          <w:tcPr>
            <w:tcW w:type="dxa" w:w="15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第 3 月</w:t>
            </w:r>
          </w:p>
        </w:tc>
        <w:tc>
          <w:tcPr>
            <w:tcW w:type="dxa" w:w="786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安排数据资产专题走读：用宝武数据资产全景链路讲清业务分类、数据域、收数标准、治数标准、入湖、ODS/CDM、血缘和建设状态。</w:t>
            </w:r>
          </w:p>
        </w:tc>
      </w:tr>
      <w:tr>
        <w:tc>
          <w:tcPr>
            <w:tcW w:type="dxa" w:w="15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关键节点</w:t>
            </w:r>
          </w:p>
        </w:tc>
        <w:tc>
          <w:tcPr>
            <w:tcW w:type="dxa" w:w="786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对失败案例做 root cause review：避免用 Prompt、硬编码或业务定制掩盖 Runtime 边界问题。</w:t>
            </w:r>
          </w:p>
        </w:tc>
      </w:tr>
      <w:tr>
        <w:tc>
          <w:tcPr>
            <w:tcW w:type="dxa" w:w="15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第 6 月</w:t>
            </w:r>
          </w:p>
        </w:tc>
        <w:tc>
          <w:tcPr>
            <w:tcW w:type="dxa" w:w="786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模拟客户现场：导师扮演业务方提需求、追问数据来源、验收标准、异常场景和上线风险。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九、风险与纠偏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风险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纠偏方式</w:t>
            </w:r>
          </w:p>
        </w:tc>
      </w:tr>
      <w:tr>
        <w:tc>
          <w:tcPr>
            <w:tcW w:type="dxa" w:w="25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只会调 Prompt</w:t>
            </w:r>
          </w:p>
        </w:tc>
        <w:tc>
          <w:tcPr>
            <w:tcW w:type="dxa" w:w="686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要求所有智能应用任务都必须包含工具、数据、证据或评估，不能只交 Prompt。</w:t>
            </w:r>
          </w:p>
        </w:tc>
      </w:tr>
      <w:tr>
        <w:tc>
          <w:tcPr>
            <w:tcW w:type="dxa" w:w="25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看代码停留在表层</w:t>
            </w:r>
          </w:p>
        </w:tc>
        <w:tc>
          <w:tcPr>
            <w:tcW w:type="dxa" w:w="686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每周必须选择一个调用链从入口读到持久化或执行结果。</w:t>
            </w:r>
          </w:p>
        </w:tc>
      </w:tr>
      <w:tr>
        <w:tc>
          <w:tcPr>
            <w:tcW w:type="dxa" w:w="25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知识库效果不可解释</w:t>
            </w:r>
          </w:p>
        </w:tc>
        <w:tc>
          <w:tcPr>
            <w:tcW w:type="dxa" w:w="686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建立标准问答集，记录召回、引用、误答和资料缺口。</w:t>
            </w:r>
          </w:p>
        </w:tc>
      </w:tr>
      <w:tr>
        <w:tc>
          <w:tcPr>
            <w:tcW w:type="dxa" w:w="25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不了解数据资产中心业务</w:t>
            </w:r>
          </w:p>
        </w:tc>
        <w:tc>
          <w:tcPr>
            <w:tcW w:type="dxa" w:w="686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第 3 月必须完成一个真实数据域资产卡片，不能只做通用 RAG demo。</w:t>
            </w:r>
          </w:p>
        </w:tc>
      </w:tr>
      <w:tr>
        <w:tc>
          <w:tcPr>
            <w:tcW w:type="dxa" w:w="25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把数据表当数据资产</w:t>
            </w:r>
          </w:p>
        </w:tc>
        <w:tc>
          <w:tcPr>
            <w:tcW w:type="dxa" w:w="686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要求同时说明业务对象、标准、数据元、安全等级、血缘、责任部门和应用场景。</w:t>
            </w:r>
          </w:p>
        </w:tc>
      </w:tr>
      <w:tr>
        <w:tc>
          <w:tcPr>
            <w:tcW w:type="dxa" w:w="25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过早追求大而全</w:t>
            </w:r>
          </w:p>
        </w:tc>
        <w:tc>
          <w:tcPr>
            <w:tcW w:type="dxa" w:w="686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每月只做一个闭环 MVP，先保证可运行、可诊断、可复盘。</w:t>
            </w:r>
          </w:p>
        </w:tc>
      </w:tr>
      <w:tr>
        <w:tc>
          <w:tcPr>
            <w:tcW w:type="dxa" w:w="25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把演示当交付</w:t>
            </w:r>
          </w:p>
        </w:tc>
        <w:tc>
          <w:tcPr>
            <w:tcW w:type="dxa" w:w="686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交付物必须包含测试、运行证据、失败处理和验收清单。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十、最终毕业标准</w:t>
      </w:r>
    </w:p>
    <w:p>
      <w:pPr/>
      <w:r>
        <w:rPr>
          <w:rFonts w:ascii="Arial Unicode MS" w:hAnsi="Arial Unicode MS" w:eastAsia="Arial Unicode MS"/>
        </w:rPr>
        <w:t>6 个月结束时，培养对象应能独立承担一个小型 FDE 任务：从业务问题澄清、资料和数据接入、Agent 方案设计、原型实现、测试评估、现场演示到复盘文档，形成完整交付闭环。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维度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毕业标准</w:t>
            </w:r>
          </w:p>
        </w:tc>
      </w:tr>
      <w:tr>
        <w:tc>
          <w:tcPr>
            <w:tcW w:type="dxa" w:w="17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方案能力</w:t>
            </w:r>
          </w:p>
        </w:tc>
        <w:tc>
          <w:tcPr>
            <w:tcW w:type="dxa" w:w="766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能写清楚目标、边界、用户流程、系统架构、数据来源、权限和验收标准</w:t>
            </w:r>
          </w:p>
        </w:tc>
      </w:tr>
      <w:tr>
        <w:tc>
          <w:tcPr>
            <w:tcW w:type="dxa" w:w="17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实现能力</w:t>
            </w:r>
          </w:p>
        </w:tc>
        <w:tc>
          <w:tcPr>
            <w:tcW w:type="dxa" w:w="766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能完成一个可运行 Agent MVP，至少包含 LLM、工具调用、知识库或数据平台接入、结果评估</w:t>
            </w:r>
          </w:p>
        </w:tc>
      </w:tr>
      <w:tr>
        <w:tc>
          <w:tcPr>
            <w:tcW w:type="dxa" w:w="17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数据资产理解</w:t>
            </w:r>
          </w:p>
        </w:tc>
        <w:tc>
          <w:tcPr>
            <w:tcW w:type="dxa" w:w="766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能围绕一个集团数据域说明归口责任、源头系统、收数/治数标准、数据元、ODS/CDM、血缘、建设状态和应用价值</w:t>
            </w:r>
          </w:p>
        </w:tc>
      </w:tr>
      <w:tr>
        <w:tc>
          <w:tcPr>
            <w:tcW w:type="dxa" w:w="17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诊断能力</w:t>
            </w:r>
          </w:p>
        </w:tc>
        <w:tc>
          <w:tcPr>
            <w:tcW w:type="dxa" w:w="766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能追踪运行证据，解释失败原因，不把模型文本或 UI 状态当权威事实</w:t>
            </w:r>
          </w:p>
        </w:tc>
      </w:tr>
      <w:tr>
        <w:tc>
          <w:tcPr>
            <w:tcW w:type="dxa" w:w="17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交付能力</w:t>
            </w:r>
          </w:p>
        </w:tc>
        <w:tc>
          <w:tcPr>
            <w:tcW w:type="dxa" w:w="766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能面向业务方演示，回答风险、效果、数据来源和下一步迭代问题</w:t>
            </w:r>
          </w:p>
        </w:tc>
      </w:tr>
      <w:tr>
        <w:tc>
          <w:tcPr>
            <w:tcW w:type="dxa" w:w="170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工程态度</w:t>
            </w:r>
          </w:p>
        </w:tc>
        <w:tc>
          <w:tcPr>
            <w:tcW w:type="dxa" w:w="7660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sz w:val="18"/>
              </w:rPr>
              <w:t>尊重代码边界、测试和证据，形成可交接文档与清晰提交记录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Arial Unicode MS" w:hAnsi="Arial Unicode MS" w:eastAsia="Arial Unicode MS"/>
        <w:color w:val="5A6470"/>
        <w:sz w:val="18"/>
      </w:rPr>
      <w:t>内部带教方案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Arial Unicode MS" w:hAnsi="Arial Unicode MS" w:eastAsia="Arial Unicode MS"/>
        <w:b/>
        <w:color w:val="5A6470"/>
        <w:sz w:val="18"/>
      </w:rPr>
      <w:t>FDE 工程师 6 个月培养计划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 Unicode MS" w:hAnsi="Arial Unicode MS" w:eastAsia="Arial Unicode MS" w:cs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