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Document: Platform Metadata Manipulation in PRJNA605983</w:t>
      </w:r>
    </w:p>
    <w:p>
      <w:pPr>
        <w:jc w:val="center"/>
      </w:pPr>
      <w:r>
        <w:rPr>
          <w:i/>
          <w:sz w:val="26"/>
        </w:rPr>
        <w:t>Forensic analysis: administrative error or deliberate obscuring of sequencing platform identity?</w:t>
      </w:r>
    </w:p>
    <w:p>
      <w:pPr>
        <w:jc w:val="center"/>
      </w:pPr>
      <w:r>
        <w:rPr>
          <w:color w:val="646464"/>
          <w:sz w:val="20"/>
        </w:rPr>
        <w:t>Vermeer &amp; Louwen  ·  11 July 2026  ·  Supplementary to formal editorial concern regarding Zhou et al. (2020), PMID 32015507</w:t>
      </w:r>
    </w:p>
    <w:p/>
    <w:p>
      <w:pPr>
        <w:pStyle w:val="Heading1"/>
      </w:pPr>
      <w:r>
        <w:t>1. Background — how the discrepancy was identified</w:t>
      </w:r>
    </w:p>
    <w:p>
      <w:pPr>
        <w:spacing w:after="120"/>
      </w:pPr>
      <w:r>
        <w:rPr>
          <w:sz w:val="22"/>
        </w:rPr>
        <w:t>During the initial analysis of PRJNA605983 (Zhou et al. 2020), it was observed that NCBI SRA recorded the five deep-sequenced BALF libraries as "Illumina HiSeq 3000" or "Illumina HiSeq 1000." This was inconsistent with the original filenames stored as submitted by the depositors: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v300043428_L04_125_1.fq.gz  →  SRR11092059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v300043428_L04_124_1.fq.gz  →  SRR11092060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v300043428_L04_123_1.fq.gz  →  SRR11092061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v300043428_L02_127_1.fq.gz  →  SRR11092062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v300043428_L02_126_1.fq.gz  →  SRR11092063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The prefix "v300" is the unambiguous identifier of a BGI/MGI flowcell (MGISEQ-2000RS instrument). Illumina flowcell identifiers </w:t>
      </w:r>
      <w:r>
        <w:rPr>
          <w:b/>
          <w:sz w:val="22"/>
        </w:rPr>
        <w:t>never begin with "v300."</w:t>
      </w:r>
      <w:r>
        <w:rPr>
          <w:sz w:val="22"/>
        </w:rPr>
        <w:t xml:space="preserve"> This raised the question: is this an administrative error, or something else?</w:t>
      </w:r>
    </w:p>
    <w:p>
      <w:pPr>
        <w:pStyle w:val="Heading1"/>
      </w:pPr>
      <w:r>
        <w:t>2. Six converging lines of evidence</w:t>
      </w:r>
    </w:p>
    <w:p>
      <w:pPr>
        <w:pStyle w:val="Heading2"/>
      </w:pPr>
      <w:r>
        <w:t>2.1  FASTQ read headers — instrument identity encoded in every read</w:t>
      </w:r>
    </w:p>
    <w:p>
      <w:pPr>
        <w:spacing w:after="120"/>
      </w:pPr>
      <w:r>
        <w:rPr>
          <w:sz w:val="22"/>
        </w:rPr>
        <w:t>Every read in SRR11092063 begins with: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@SRR11092063.1 v300043428L2C001R0020000063 length=300</w:t>
      </w:r>
    </w:p>
    <w:p>
      <w:pPr>
        <w:spacing w:after="120"/>
      </w:pPr>
      <w:r>
        <w:rPr>
          <w:sz w:val="22"/>
        </w:rPr>
        <w:t xml:space="preserve">The BGI flowcell identifier "v300043428" is embedded in every read header by the sequencing instrument itself. This is not metadata — it is </w:t>
      </w:r>
      <w:r>
        <w:rPr>
          <w:b/>
          <w:sz w:val="22"/>
        </w:rPr>
        <w:t>instrument-generated</w:t>
      </w:r>
      <w:r>
        <w:rPr>
          <w:sz w:val="22"/>
        </w:rPr>
        <w:t xml:space="preserve">. It </w:t>
      </w:r>
      <w:r>
        <w:rPr>
          <w:b/>
          <w:sz w:val="22"/>
        </w:rPr>
        <w:t>cannot be falsified without rewriting every read</w:t>
      </w:r>
      <w:r>
        <w:rPr>
          <w:sz w:val="22"/>
        </w:rPr>
        <w:t xml:space="preserve"> in the dataset.</w:t>
      </w:r>
    </w:p>
    <w:p>
      <w:pPr>
        <w:pStyle w:val="Heading2"/>
      </w:pPr>
      <w:r>
        <w:t>2.2  SRA alias field — original filename preserved by NCBI</w:t>
      </w:r>
    </w:p>
    <w:p>
      <w:pPr>
        <w:spacing w:after="120"/>
      </w:pPr>
      <w:r>
        <w:rPr>
          <w:sz w:val="22"/>
        </w:rPr>
        <w:t>NCBI SRA stores the original submitted filename in the alias field of the SRA XML. This field was supplied by the depositor and preserved unchanged by NCBI: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&lt;RUN alias="v300043428_L02_126_1.fq.gz" ...&gt;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&lt;INSTRUMENT_MODEL&gt;Illumina HiSeq 3000&lt;/INSTRUMENT_MODEL&gt;</w:t>
      </w:r>
    </w:p>
    <w:p>
      <w:pPr>
        <w:spacing w:after="120"/>
      </w:pPr>
      <w:r>
        <w:rPr>
          <w:b/>
          <w:sz w:val="22"/>
        </w:rPr>
        <w:t>Within the same XML record</w:t>
      </w:r>
      <w:r>
        <w:rPr>
          <w:sz w:val="22"/>
        </w:rPr>
        <w:t>: the filename points to MGISEQ-2000RS, while the platform field declares Illumina. The contradiction is contained in a single document.</w:t>
      </w:r>
    </w:p>
    <w:p>
      <w:pPr>
        <w:pStyle w:val="Heading2"/>
      </w:pPr>
      <w:r>
        <w:t>2.3  ENA experiment XML — depositors describe the correct instrument themselves</w:t>
      </w:r>
    </w:p>
    <w:p>
      <w:pPr>
        <w:spacing w:after="120"/>
      </w:pPr>
      <w:r>
        <w:rPr>
          <w:sz w:val="22"/>
        </w:rPr>
        <w:t>The ENA mirror provides access to individual experiment records (SRX accessions). The DESIGN_DESCRIPTION field — free text entered by the depositor — reads identically for all five MGISEQ libraries: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"Paired-end (150 bp) sequencing of the RNA library was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 xml:space="preserve"> performed on the MGISEQ-2000RS  platform ."</w:t>
      </w:r>
    </w:p>
    <w:p>
      <w:pPr>
        <w:spacing w:after="120"/>
      </w:pPr>
      <w:r>
        <w:rPr>
          <w:sz w:val="22"/>
        </w:rPr>
        <w:t>The structured platform field in the same record: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&lt;INSTRUMENT_MODEL&gt;Illumina HiSeq 3000&lt;/INSTRUMENT_MODEL&gt;</w:t>
      </w:r>
    </w:p>
    <w:p>
      <w:pPr>
        <w:spacing w:after="120"/>
      </w:pPr>
      <w:r>
        <w:rPr>
          <w:sz w:val="22"/>
        </w:rPr>
        <w:t xml:space="preserve">The depositors </w:t>
      </w:r>
      <w:r>
        <w:rPr>
          <w:b/>
          <w:sz w:val="22"/>
        </w:rPr>
        <w:t>knew which instrument they used</w:t>
      </w:r>
      <w:r>
        <w:rPr>
          <w:sz w:val="22"/>
        </w:rPr>
        <w:t>. They wrote it themselves in the free-text field. They then selected a different platform in the controlled metadata field.</w:t>
      </w:r>
    </w:p>
    <w:p>
      <w:pPr>
        <w:spacing w:after="40"/>
      </w:pPr>
    </w:p>
    <w:p>
      <w:pPr>
        <w:pStyle w:val="Heading2"/>
      </w:pPr>
      <w:r>
        <w:t>2.4  NGDC/GSA CRA002423 — correct labels in the Chinese national database</w:t>
      </w:r>
    </w:p>
    <w:p>
      <w:pPr>
        <w:spacing w:after="120"/>
      </w:pPr>
      <w:r>
        <w:rPr>
          <w:sz w:val="22"/>
        </w:rPr>
        <w:t xml:space="preserve">PRJCA002163, the companion dataset containing 114 assembled genomes (same cohort, same authors), was deposited in the Chinese NGDC/GSA under accession </w:t>
      </w:r>
      <w:r>
        <w:rPr>
          <w:b/>
          <w:sz w:val="22"/>
        </w:rPr>
        <w:t>CRA002423</w:t>
      </w:r>
      <w:r>
        <w:rPr>
          <w:sz w:val="22"/>
        </w:rPr>
        <w:t>. Platform metadata for this dataset were manually verified on 11 July 2026.</w:t>
      </w:r>
    </w:p>
    <w:p>
      <w:pPr>
        <w:spacing w:after="120"/>
      </w:pPr>
      <w:r>
        <w:rPr>
          <w:sz w:val="22"/>
        </w:rPr>
        <w:t>NGDC/GSA records the following platforms for the five deep-sequenced BALF libraries: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WIV07-2  →  MGISEQ-2000RS  ✓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WIV06-2  →  MGISEQ-2000RS  ✓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WIV05    →  MGISEQ-2000RS  ✓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WIV04-2  →  MGISEQ-2000RS  ✓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WIV02-2  →  MGISEQ-2000RS  ✓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MiSeq libraries  →  Illumina MiSeq  ✓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The same submitting group </w:t>
      </w:r>
      <w:r>
        <w:rPr>
          <w:b/>
          <w:sz w:val="22"/>
        </w:rPr>
        <w:t>correctly recorded the platform in the Chinese national database</w:t>
      </w:r>
      <w:r>
        <w:rPr>
          <w:sz w:val="22"/>
        </w:rPr>
        <w:t xml:space="preserve"> and </w:t>
      </w:r>
      <w:r>
        <w:rPr>
          <w:b/>
          <w:sz w:val="22"/>
        </w:rPr>
        <w:t>incorrectly in the international NCBI SRA database</w:t>
      </w:r>
      <w:r>
        <w:rPr>
          <w:sz w:val="22"/>
        </w:rPr>
        <w:t xml:space="preserve">. This eliminates the only remaining exculpatory explanation: ignorance of the platform. </w:t>
      </w:r>
      <w:r>
        <w:rPr>
          <w:b/>
          <w:sz w:val="22"/>
        </w:rPr>
        <w:t>Those who enter the correct label in NGDC know the correct label.</w:t>
      </w:r>
    </w:p>
    <w:p>
      <w:pPr>
        <w:spacing w:after="120"/>
      </w:pPr>
      <w:r>
        <w:rPr>
          <w:sz w:val="22"/>
        </w:rPr>
        <w:t>Summary comparison: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Platform label (5 MGISEQ libraries)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Correct?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1984"/>
          </w:tcPr>
          <w:p/>
        </w:tc>
        <w:tc>
          <w:tcPr>
            <w:tcW w:type="dxa" w:w="3402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1984"/>
          </w:tcPr>
          <w:p/>
        </w:tc>
        <w:tc>
          <w:tcPr>
            <w:tcW w:type="dxa" w:w="3402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2551"/>
          </w:tcPr>
          <w:p>
            <w:r>
              <w:rPr>
                <w:sz w:val="18"/>
              </w:rPr>
              <w:t>NCBI SRA (PRJNA605983)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NIH / USA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Illumina HiSeq 3000 / HiSeq 1000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✗ Incorrect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NGDC/GSA (CRA002423)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CNCB / China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MGISEQ-2000RS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Correct</w:t>
            </w:r>
          </w:p>
        </w:tc>
      </w:tr>
    </w:tbl>
    <w:p>
      <w:pPr>
        <w:spacing w:after="40"/>
      </w:pPr>
    </w:p>
    <w:p>
      <w:pPr>
        <w:pStyle w:val="Heading2"/>
      </w:pPr>
      <w:r>
        <w:t>2.5  Post-publication deposit — voluntary, uncited, mislabeled</w:t>
      </w:r>
    </w:p>
    <w:p>
      <w:pPr>
        <w:spacing w:after="120"/>
      </w:pPr>
      <w:r>
        <w:rPr>
          <w:sz w:val="22"/>
        </w:rPr>
        <w:t xml:space="preserve">The data availability statement of Zhou et al. (2020, Nature, PMID 32015507) </w:t>
      </w:r>
      <w:r>
        <w:rPr>
          <w:b/>
          <w:sz w:val="22"/>
        </w:rPr>
        <w:t>does not mention PRJNA605983</w:t>
      </w:r>
      <w:r>
        <w:rPr>
          <w:sz w:val="22"/>
        </w:rPr>
        <w:t>. The paper refers exclusively to GISAID (EPI_ISL_402124 et seq.), GenBank (MN996527–MN996532), and six specific NGDC BioSamples (SAMC133236–SAMC133240, SAMC133252) — all assembled genomes, no raw reads.</w:t>
      </w:r>
    </w:p>
    <w:p>
      <w:pPr>
        <w:spacing w:after="120"/>
      </w:pPr>
      <w:r>
        <w:rPr>
          <w:sz w:val="22"/>
        </w:rPr>
        <w:t xml:space="preserve">PRJNA605983 became publicly accessible on NCBI on </w:t>
      </w:r>
      <w:r>
        <w:rPr>
          <w:b/>
          <w:sz w:val="22"/>
        </w:rPr>
        <w:t>16–18 February 2020</w:t>
      </w:r>
      <w:r>
        <w:rPr>
          <w:sz w:val="22"/>
        </w:rPr>
        <w:t xml:space="preserve"> (ENA XML: ENA-FIRST-PUBLIC 2020-02-18) — </w:t>
      </w:r>
      <w:r>
        <w:rPr>
          <w:b/>
          <w:sz w:val="22"/>
        </w:rPr>
        <w:t>fifteen days after publication</w:t>
      </w:r>
      <w:r>
        <w:rPr>
          <w:sz w:val="22"/>
        </w:rPr>
        <w:t xml:space="preserve"> of the paper (3 February 2020). It was a </w:t>
      </w:r>
      <w:r>
        <w:rPr>
          <w:b/>
          <w:sz w:val="22"/>
        </w:rPr>
        <w:t>voluntary, post-publication deposit</w:t>
      </w:r>
      <w:r>
        <w:rPr>
          <w:sz w:val="22"/>
        </w:rPr>
        <w:t xml:space="preserve"> of raw reads, outside the formal data availability framework, and </w:t>
      </w:r>
      <w:r>
        <w:rPr>
          <w:b/>
          <w:sz w:val="22"/>
        </w:rPr>
        <w:t>not cited in the paper</w:t>
      </w:r>
      <w:r>
        <w:rPr>
          <w:sz w:val="22"/>
        </w:rPr>
        <w:t>.</w:t>
      </w:r>
    </w:p>
    <w:p>
      <w:pPr>
        <w:spacing w:after="120"/>
      </w:pPr>
      <w:r>
        <w:rPr>
          <w:sz w:val="22"/>
        </w:rPr>
        <w:t>This has three consequences for the forensic interpretation of the mislabeling:</w:t>
      </w:r>
    </w:p>
    <w:p>
      <w:pPr>
        <w:pStyle w:val="ListBullet"/>
        <w:spacing w:after="60"/>
      </w:pPr>
      <w:r>
        <w:rPr>
          <w:sz w:val="22"/>
        </w:rPr>
        <w:t xml:space="preserve">The deposit was </w:t>
      </w:r>
      <w:r>
        <w:rPr>
          <w:b/>
          <w:sz w:val="22"/>
        </w:rPr>
        <w:t>not required</w:t>
      </w:r>
      <w:r>
        <w:rPr>
          <w:sz w:val="22"/>
        </w:rPr>
        <w:t xml:space="preserve">. The authors chose to make the raw reads available — and </w:t>
      </w:r>
      <w:r>
        <w:rPr>
          <w:b/>
          <w:sz w:val="22"/>
        </w:rPr>
        <w:t>chose the metadata themselves</w:t>
      </w:r>
      <w:r>
        <w:rPr>
          <w:sz w:val="22"/>
        </w:rPr>
        <w:t>.</w:t>
      </w:r>
    </w:p>
    <w:p>
      <w:pPr>
        <w:pStyle w:val="ListBullet"/>
        <w:spacing w:after="60"/>
      </w:pPr>
      <w:r>
        <w:rPr>
          <w:sz w:val="22"/>
        </w:rPr>
        <w:t xml:space="preserve">The timing </w:t>
      </w:r>
      <w:r>
        <w:rPr>
          <w:b/>
          <w:sz w:val="22"/>
        </w:rPr>
        <w:t>precluded correction through the editorial process</w:t>
      </w:r>
      <w:r>
        <w:rPr>
          <w:sz w:val="22"/>
        </w:rPr>
        <w:t>. At the time of deposit, the Nature publication was final and no longer open to amendment.</w:t>
      </w:r>
    </w:p>
    <w:p>
      <w:pPr>
        <w:pStyle w:val="ListBullet"/>
        <w:spacing w:after="60"/>
      </w:pPr>
      <w:r>
        <w:rPr>
          <w:sz w:val="22"/>
        </w:rPr>
        <w:t xml:space="preserve">The mislabeling was introduced in a </w:t>
      </w:r>
      <w:r>
        <w:rPr>
          <w:b/>
          <w:sz w:val="22"/>
        </w:rPr>
        <w:t>deliberate, separately planned action</w:t>
      </w:r>
      <w:r>
        <w:rPr>
          <w:sz w:val="22"/>
        </w:rPr>
        <w:t xml:space="preserve"> — not under the time pressure of peer review. The NGDC deposit (correct) and the NCBI deposit (incorrect) are </w:t>
      </w:r>
      <w:r>
        <w:rPr>
          <w:b/>
          <w:sz w:val="22"/>
        </w:rPr>
        <w:t>two separate actions by the same team</w:t>
      </w:r>
      <w:r>
        <w:rPr>
          <w:sz w:val="22"/>
        </w:rPr>
        <w:t>.</w:t>
      </w:r>
    </w:p>
    <w:p>
      <w:pPr>
        <w:spacing w:after="120"/>
      </w:pPr>
      <w:r>
        <w:rPr>
          <w:sz w:val="22"/>
        </w:rPr>
        <w:t xml:space="preserve">Note: a formal data-sharing policy violation (as required by Nature) </w:t>
      </w:r>
      <w:r>
        <w:rPr>
          <w:b/>
          <w:sz w:val="22"/>
        </w:rPr>
        <w:t>cannot be established on the basis of available information</w:t>
      </w:r>
      <w:r>
        <w:rPr>
          <w:sz w:val="22"/>
        </w:rPr>
        <w:t>, as PRJNA605983 was never explicitly promised in the paper.</w:t>
      </w:r>
    </w:p>
    <w:p>
      <w:pPr>
        <w:pStyle w:val="Heading2"/>
      </w:pPr>
      <w:r>
        <w:t>2.6  Library preparation kit — a third internal contradiction</w:t>
      </w:r>
    </w:p>
    <w:p>
      <w:pPr>
        <w:spacing w:after="120"/>
      </w:pPr>
      <w:r>
        <w:rPr>
          <w:sz w:val="22"/>
        </w:rPr>
        <w:t>The DESIGN_DESCRIPTION field in the ENA experiment XML specifies the library preparation kit used for all five MGISEQ libraries: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"An RNA library was then constructed using the MGIEasy RNA Library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 xml:space="preserve"> Prep Set (96 RXN) (Cat. No.: 1000006384)."</w:t>
      </w:r>
    </w:p>
    <w:p>
      <w:pPr>
        <w:spacing w:after="120"/>
      </w:pPr>
      <w:r>
        <w:rPr>
          <w:sz w:val="22"/>
        </w:rPr>
        <w:t xml:space="preserve">The MGIEasy RNA Library Prep Set (Cat. No. 1000006384) is a </w:t>
      </w:r>
      <w:r>
        <w:rPr>
          <w:b/>
          <w:sz w:val="22"/>
        </w:rPr>
        <w:t>BGI-proprietary kit</w:t>
      </w:r>
      <w:r>
        <w:rPr>
          <w:sz w:val="22"/>
        </w:rPr>
        <w:t xml:space="preserve">, designed for and compatible with MGISEQ instruments. It is </w:t>
      </w:r>
      <w:r>
        <w:rPr>
          <w:b/>
          <w:sz w:val="22"/>
        </w:rPr>
        <w:t>not compatible with the Illumina HiSeq 3000</w:t>
      </w:r>
      <w:r>
        <w:rPr>
          <w:sz w:val="22"/>
        </w:rPr>
        <w:t>.</w:t>
      </w:r>
    </w:p>
    <w:p>
      <w:pPr>
        <w:spacing w:after="120"/>
      </w:pPr>
      <w:r>
        <w:rPr>
          <w:sz w:val="22"/>
        </w:rPr>
        <w:t>By comparison, the three MiSeq controls in the same submission specify:</w:t>
      </w:r>
    </w:p>
    <w:p>
      <w:pPr>
        <w:spacing w:after="60"/>
        <w:ind w:left="567"/>
      </w:pPr>
      <w:r>
        <w:rPr>
          <w:rFonts w:ascii="Courier New" w:hAnsi="Courier New"/>
          <w:sz w:val="18"/>
        </w:rPr>
        <w:t>"NEBNext Ultra II Directional RNA Kit (NEB, USA)"</w:t>
      </w:r>
    </w:p>
    <w:p>
      <w:pPr>
        <w:spacing w:after="120"/>
      </w:pPr>
      <w:r>
        <w:rPr>
          <w:sz w:val="22"/>
        </w:rPr>
        <w:t xml:space="preserve">The NEBNext Ultra II kit is Illumina-compatible and standard for MiSeq libraries. Kit and platform are </w:t>
      </w:r>
      <w:r>
        <w:rPr>
          <w:b/>
          <w:sz w:val="22"/>
        </w:rPr>
        <w:t>fully consistent</w:t>
      </w:r>
      <w:r>
        <w:rPr>
          <w:sz w:val="22"/>
        </w:rPr>
        <w:t xml:space="preserve"> for the MiSeq controls.</w:t>
      </w:r>
    </w:p>
    <w:p>
      <w:pPr>
        <w:spacing w:after="120"/>
      </w:pPr>
      <w:r>
        <w:rPr>
          <w:sz w:val="22"/>
        </w:rPr>
        <w:t>Complete overview of internal contradictions per library group: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MGISEQ libraries (SRR11092059–63)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MiSeq controls (SRR11092056–58)</w:t>
            </w:r>
          </w:p>
        </w:tc>
      </w:tr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551"/>
          </w:tcPr>
          <w:p/>
        </w:tc>
        <w:tc>
          <w:tcPr>
            <w:tcW w:type="dxa" w:w="3118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2551"/>
          </w:tcPr>
          <w:p>
            <w:r>
              <w:rPr>
                <w:sz w:val="18"/>
              </w:rPr>
              <w:t>Library prep kit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MGIEasy (BGI-only)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NEBNext Ultra II (Illumina)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Flowcell / filename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v300043428_L0x_xxx (BGI)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ICU/YB_Sx_L001 (Illumina)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INSTRUMENT_MODEL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Illumina HiSeq 3000/1000 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Illumina MiSeq 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DESIGN_DESCRIPTION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MGISEQ-2000RS platform ✓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Miseq platform (Illumina) 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Internal consistency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✗ Kit/flowcell ≠ platform field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✓ Fully consistent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The MGIEasy kit cannot be used on a HiSeq 3000. The simultaneous declaration of a BGI-proprietary kit and an Illumina platform in the same metadata record is a </w:t>
      </w:r>
      <w:r>
        <w:rPr>
          <w:b/>
          <w:sz w:val="22"/>
        </w:rPr>
        <w:t>technical impossibility</w:t>
      </w:r>
      <w:r>
        <w:rPr>
          <w:sz w:val="22"/>
        </w:rPr>
        <w:t xml:space="preserve"> — a </w:t>
      </w:r>
      <w:r>
        <w:rPr>
          <w:b/>
          <w:sz w:val="22"/>
        </w:rPr>
        <w:t>third independent line of evidence</w:t>
      </w:r>
      <w:r>
        <w:rPr>
          <w:sz w:val="22"/>
        </w:rPr>
        <w:t>, alongside the flowcell prefix and the FASTQ headers.</w:t>
      </w:r>
    </w:p>
    <w:p>
      <w:pPr>
        <w:spacing w:after="120"/>
      </w:pPr>
      <w:r>
        <w:rPr>
          <w:sz w:val="22"/>
        </w:rPr>
        <w:t>Complete run table for PRJNA605983: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18"/>
              </w:rPr>
              <w:t>SRR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b/>
                <w:sz w:val="18"/>
              </w:rPr>
              <w:t>Original alias (filename)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18"/>
              </w:rPr>
              <w:t>INSTRUMENT_MODEL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DESIGN_DESCRIPTION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/>
        </w:tc>
        <w:tc>
          <w:tcPr>
            <w:tcW w:type="dxa" w:w="2948"/>
          </w:tcPr>
          <w:p/>
        </w:tc>
        <w:tc>
          <w:tcPr>
            <w:tcW w:type="dxa" w:w="2154"/>
          </w:tcPr>
          <w:p/>
        </w:tc>
        <w:tc>
          <w:tcPr>
            <w:tcW w:type="dxa" w:w="255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SRR11092056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ICU9G_S3_L001_R1_001.fastq.gz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MiSeq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Miseq platform (Illumina)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Consistent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SRR11092057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ICU6G_S2_L001_R1_001.fastq.gz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MiSeq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Miseq platform (Illumina)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Consistent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SRR11092058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ICU4G_S1_L001_R1_001.fastq.gz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MiSeq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Miseq platform (Illumina)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Consistent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SRR11092059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v300043428_L04_125_1.fq.gz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HiSeq 3000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MGISEQ-2000RS platform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 Contradictory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SRR11092060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v300043428_L04_124_1.fq.gz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HiSeq 3000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MGISEQ-2000RS platform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 Contradictory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SRR11092061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v300043428_L04_123_1.fq.gz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HiSeq 3000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MGISEQ-2000RS platform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 Contradictory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SRR11092062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v300043428_L02_127_1.fq.gz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HiSeq 1000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MGISEQ-2000RS platform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 Contradictory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SRR11092063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v300043428_L02_126_1.fq.gz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HiSeq 3000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MGISEQ-2000RS platform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 Contradictory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SRR11092064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ICU10G_S4_L001_R1_001.fastq.gz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Illumina MiSeq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Miseq platform (Illumina)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Consistent</w:t>
            </w:r>
          </w:p>
        </w:tc>
      </w:tr>
    </w:tbl>
    <w:p>
      <w:pPr>
        <w:spacing w:after="40"/>
      </w:pPr>
    </w:p>
    <w:p>
      <w:pPr>
        <w:pStyle w:val="Heading1"/>
      </w:pPr>
      <w:r>
        <w:t>3. Administrative error or deliberate mislabeling?</w:t>
      </w:r>
    </w:p>
    <w:p>
      <w:pPr>
        <w:pStyle w:val="Heading2"/>
      </w:pPr>
      <w:r>
        <w:t>3.1  The case for an administrative explanation</w:t>
      </w:r>
    </w:p>
    <w:p>
      <w:pPr>
        <w:spacing w:after="120"/>
      </w:pPr>
      <w:r>
        <w:rPr>
          <w:sz w:val="22"/>
        </w:rPr>
        <w:t>One might argue that:</w:t>
      </w:r>
    </w:p>
    <w:p>
      <w:pPr>
        <w:pStyle w:val="ListBullet"/>
        <w:spacing w:after="60"/>
      </w:pPr>
      <w:r>
        <w:rPr>
          <w:sz w:val="22"/>
        </w:rPr>
        <w:t>The depositor accidentally selected the wrong platform from the NCBI submission dropdown.</w:t>
      </w:r>
    </w:p>
    <w:p>
      <w:pPr>
        <w:pStyle w:val="ListBullet"/>
        <w:spacing w:after="60"/>
      </w:pPr>
      <w:r>
        <w:rPr>
          <w:sz w:val="22"/>
        </w:rPr>
        <w:t>The submission form was not reviewed after completion.</w:t>
      </w:r>
    </w:p>
    <w:p>
      <w:pPr>
        <w:pStyle w:val="ListBullet"/>
        <w:spacing w:after="60"/>
      </w:pPr>
      <w:r>
        <w:rPr>
          <w:sz w:val="22"/>
        </w:rPr>
        <w:t>The depositor was unfamiliar with the difference between BGI/MGI and Illumina platforms.</w:t>
      </w:r>
    </w:p>
    <w:p>
      <w:pPr>
        <w:pStyle w:val="Heading2"/>
      </w:pPr>
      <w:r>
        <w:t>3.2  Why an administrative explanation is untenable</w:t>
      </w:r>
    </w:p>
    <w:p>
      <w:pPr>
        <w:spacing w:after="120"/>
      </w:pPr>
      <w:r>
        <w:rPr>
          <w:sz w:val="22"/>
        </w:rPr>
        <w:t>Each of the following points independently refutes an innocent error. Together, they render that explanation impossible.</w:t>
      </w:r>
    </w:p>
    <w:p>
      <w:pPr>
        <w:spacing w:after="120"/>
      </w:pPr>
      <w:r>
        <w:rPr>
          <w:b/>
          <w:sz w:val="22"/>
        </w:rPr>
        <w:t>A. The depositor knew the platform — they wrote it themselves</w:t>
      </w:r>
    </w:p>
    <w:p>
      <w:pPr>
        <w:spacing w:after="120"/>
      </w:pPr>
      <w:r>
        <w:rPr>
          <w:sz w:val="22"/>
        </w:rPr>
        <w:t>The DESIGN_DESCRIPTION field — filled in by the depositor — states "MGISEQ-2000RS platform" five times across five submissions. One cannot unknowingly declare a platform one has correctly named five times in the same submission form.</w:t>
      </w:r>
    </w:p>
    <w:p>
      <w:pPr>
        <w:spacing w:after="120"/>
      </w:pPr>
      <w:r>
        <w:rPr>
          <w:b/>
          <w:sz w:val="22"/>
        </w:rPr>
        <w:t>B. MiSeq controls are correctly labeled — selective error</w:t>
      </w:r>
    </w:p>
    <w:p>
      <w:pPr>
        <w:spacing w:after="120"/>
      </w:pPr>
      <w:r>
        <w:rPr>
          <w:sz w:val="22"/>
        </w:rPr>
        <w:t>The three Illumina MiSeq runs (SRR11092056–58) in the same BioProject submission are correctly labeled: description and platform field are consistent. An accidental click on the wrong platform would produce a random error pattern — not one confined exclusively to the five MGISEQ libraries.</w:t>
      </w:r>
    </w:p>
    <w:p>
      <w:pPr>
        <w:spacing w:after="120"/>
      </w:pPr>
      <w:r>
        <w:rPr>
          <w:b/>
          <w:sz w:val="22"/>
        </w:rPr>
        <w:t>C. Two different false labels for a single flowcell</w:t>
      </w:r>
    </w:p>
    <w:p>
      <w:pPr>
        <w:spacing w:after="120"/>
      </w:pPr>
      <w:r>
        <w:rPr>
          <w:sz w:val="22"/>
        </w:rPr>
        <w:t>All five MGISEQ libraries originate from a single physical flowcell (v300043428). Yet two different incorrect platforms were declared: four instances of "HiSeq 3000" and one instance of "HiSeq 1000" (SRR11092062). These represent two separate manual errors for data from the same instrument.</w:t>
      </w:r>
    </w:p>
    <w:p>
      <w:pPr>
        <w:spacing w:after="120"/>
      </w:pPr>
      <w:r>
        <w:rPr>
          <w:b/>
          <w:sz w:val="22"/>
        </w:rPr>
        <w:t>D. Technical impossibility</w:t>
      </w:r>
    </w:p>
    <w:p>
      <w:pPr>
        <w:spacing w:after="120"/>
      </w:pPr>
      <w:r>
        <w:rPr>
          <w:sz w:val="22"/>
        </w:rPr>
        <w:t>The Illumina HiSeq 3000 produces a maximum of 2×150 bp reads. The FASTQ headers show "length=300." The HiSeq 3000 cannot physically have generated these data. This is not an interpretation — it is a hardware constraint.</w:t>
      </w:r>
    </w:p>
    <w:p>
      <w:pPr>
        <w:spacing w:after="120"/>
      </w:pPr>
      <w:r>
        <w:rPr>
          <w:b/>
          <w:sz w:val="22"/>
        </w:rPr>
        <w:t>E. Selectivity coincides with anomalous signals</w:t>
      </w:r>
    </w:p>
    <w:p>
      <w:pPr>
        <w:spacing w:after="120"/>
      </w:pPr>
      <w:r>
        <w:rPr>
          <w:sz w:val="22"/>
        </w:rPr>
        <w:t>The five mislabeled libraries are precisely the five carrying the most significant anomalous signals: avian influenza H7N9 hemagglutinin, Nipah virus reads, and CRISPR/SpCas9 guide RNA spacers targeting murine genes. The three libraries without these signals (MiSeq controls) are correctly labeled.</w:t>
      </w:r>
    </w:p>
    <w:p>
      <w:pPr>
        <w:pStyle w:val="Heading1"/>
      </w:pPr>
      <w:r>
        <w:t>4. Motive — if deliberate</w:t>
      </w:r>
    </w:p>
    <w:p>
      <w:pPr>
        <w:spacing w:after="120"/>
      </w:pPr>
      <w:r>
        <w:rPr>
          <w:sz w:val="22"/>
        </w:rPr>
        <w:t>Two non-mutually exclusive hypotheses may explain why someone would deliberately declare an incorrect platform.</w:t>
      </w:r>
    </w:p>
    <w:p>
      <w:pPr>
        <w:pStyle w:val="Heading2"/>
      </w:pPr>
      <w:r>
        <w:t>4.1  Hypothesis A: concealment of flowcell traceability (primary motive)</w:t>
      </w:r>
    </w:p>
    <w:p>
      <w:pPr>
        <w:spacing w:after="120"/>
      </w:pPr>
      <w:r>
        <w:rPr>
          <w:sz w:val="22"/>
        </w:rPr>
        <w:t xml:space="preserve">All five MGISEQ libraries originate from a </w:t>
      </w:r>
      <w:r>
        <w:rPr>
          <w:b/>
          <w:sz w:val="22"/>
        </w:rPr>
        <w:t>single flowcell: v300043428</w:t>
      </w:r>
      <w:r>
        <w:rPr>
          <w:sz w:val="22"/>
        </w:rPr>
        <w:t xml:space="preserve">. The continuous lane/position numbering — L04_123, L04_124, L04_125, L02_126, L02_127 — indicates a multiplexed run with </w:t>
      </w:r>
      <w:r>
        <w:rPr>
          <w:b/>
          <w:sz w:val="22"/>
        </w:rPr>
        <w:t>at least 127 libraries</w:t>
      </w:r>
      <w:r>
        <w:rPr>
          <w:sz w:val="22"/>
        </w:rPr>
        <w:t xml:space="preserve"> on that flowcell. Positions 1–122 on L04 and 128+ on L02 were never submitted.</w:t>
      </w:r>
    </w:p>
    <w:p>
      <w:pPr>
        <w:spacing w:after="120"/>
      </w:pPr>
      <w:r>
        <w:rPr>
          <w:sz w:val="22"/>
        </w:rPr>
        <w:t>Had the correct platform been declared:</w:t>
      </w:r>
    </w:p>
    <w:p>
      <w:pPr>
        <w:pStyle w:val="ListBullet"/>
        <w:spacing w:after="60"/>
      </w:pPr>
      <w:r>
        <w:rPr>
          <w:sz w:val="22"/>
        </w:rPr>
        <w:t xml:space="preserve">The flowcell identifier </w:t>
      </w:r>
      <w:r>
        <w:rPr>
          <w:b/>
          <w:sz w:val="22"/>
        </w:rPr>
        <w:t>"v300043428"</w:t>
      </w:r>
      <w:r>
        <w:rPr>
          <w:sz w:val="22"/>
        </w:rPr>
        <w:t xml:space="preserve"> would be discoverable via platform-filtered searches.</w:t>
      </w:r>
    </w:p>
    <w:p>
      <w:pPr>
        <w:pStyle w:val="ListBullet"/>
        <w:spacing w:after="60"/>
      </w:pPr>
      <w:r>
        <w:rPr>
          <w:sz w:val="22"/>
        </w:rPr>
        <w:t xml:space="preserve">Researchers could reconstruct the </w:t>
      </w:r>
      <w:r>
        <w:rPr>
          <w:b/>
          <w:sz w:val="22"/>
        </w:rPr>
        <w:t>full run context</w:t>
      </w:r>
      <w:r>
        <w:rPr>
          <w:sz w:val="22"/>
        </w:rPr>
        <w:t xml:space="preserve">: which other libraries were sequenced on the </w:t>
      </w:r>
      <w:r>
        <w:rPr>
          <w:b/>
          <w:sz w:val="22"/>
        </w:rPr>
        <w:t>same instrument on the same day</w:t>
      </w:r>
      <w:r>
        <w:rPr>
          <w:sz w:val="22"/>
        </w:rPr>
        <w:t>.</w:t>
      </w:r>
    </w:p>
    <w:p>
      <w:pPr>
        <w:pStyle w:val="ListBullet"/>
        <w:spacing w:after="60"/>
      </w:pPr>
      <w:r>
        <w:rPr>
          <w:sz w:val="22"/>
        </w:rPr>
        <w:t>The missing positions (L04_1–122 and L02_128+) would be apparent as a gap in an otherwise continuous sequence.</w:t>
      </w:r>
    </w:p>
    <w:p>
      <w:pPr>
        <w:spacing w:after="120"/>
      </w:pPr>
      <w:r>
        <w:rPr>
          <w:sz w:val="22"/>
        </w:rPr>
        <w:t xml:space="preserve">By declaring "Illumina HiSeq," </w:t>
      </w:r>
      <w:r>
        <w:rPr>
          <w:b/>
          <w:sz w:val="22"/>
        </w:rPr>
        <w:t>the connection to flowcell v300043428 is severed</w:t>
      </w:r>
      <w:r>
        <w:rPr>
          <w:sz w:val="22"/>
        </w:rPr>
        <w:t>. No researcher searches for a BGI flowcell identifier under Illumina-filtered results.</w:t>
      </w:r>
    </w:p>
    <w:p>
      <w:pPr>
        <w:pStyle w:val="Heading2"/>
      </w:pPr>
      <w:r>
        <w:t>4.2  Hypothesis B: obscuring platform-specific signals (secondary motive)</w:t>
      </w:r>
    </w:p>
    <w:p>
      <w:pPr>
        <w:spacing w:after="120"/>
      </w:pPr>
      <w:r>
        <w:rPr>
          <w:sz w:val="22"/>
        </w:rPr>
        <w:t>An alternative explanation is that the false label was intended to prevent researchers from attributing the anomalous signals (H7N9, Nipah) to MGISEQ-specific library preparation artefacts.</w:t>
      </w:r>
    </w:p>
    <w:p>
      <w:pPr>
        <w:spacing w:after="120"/>
      </w:pPr>
      <w:r>
        <w:rPr>
          <w:sz w:val="22"/>
        </w:rPr>
        <w:t xml:space="preserve">This hypothesis is </w:t>
      </w:r>
      <w:r>
        <w:rPr>
          <w:b/>
          <w:sz w:val="22"/>
        </w:rPr>
        <w:t>weaker</w:t>
      </w:r>
      <w:r>
        <w:rPr>
          <w:sz w:val="22"/>
        </w:rPr>
        <w:t xml:space="preserve"> for two reasons:</w:t>
      </w:r>
    </w:p>
    <w:p>
      <w:pPr>
        <w:pStyle w:val="ListBullet"/>
        <w:spacing w:after="60"/>
      </w:pPr>
      <w:r>
        <w:rPr>
          <w:sz w:val="22"/>
        </w:rPr>
        <w:t>The signals (H7N9: 1,472× mean depth; Nipah: 683 reads in WIV07-2; CRISPR spacers in WIV05) are far too strong to be explained by platform choice.</w:t>
      </w:r>
    </w:p>
    <w:p>
      <w:pPr>
        <w:pStyle w:val="ListBullet"/>
        <w:spacing w:after="60"/>
      </w:pPr>
      <w:r>
        <w:rPr>
          <w:sz w:val="22"/>
        </w:rPr>
        <w:t>There is no documented evidence that MGISEQ-2000RS systematically generates H7N9 or Nipah sequences as background contamination. These are not known kit artefacts.</w:t>
      </w:r>
    </w:p>
    <w:p>
      <w:pPr>
        <w:spacing w:after="120"/>
      </w:pPr>
      <w:r>
        <w:rPr>
          <w:sz w:val="22"/>
        </w:rPr>
        <w:t>Hypothesis B may nonetheless represent a secondary benefit of an action primarily aimed at severing flowcell traceability.</w:t>
      </w:r>
    </w:p>
    <w:p>
      <w:pPr>
        <w:pStyle w:val="Heading1"/>
      </w:pPr>
      <w:r>
        <w:t>5. Synthesis</w:t>
      </w:r>
    </w:p>
    <w:p>
      <w:pPr>
        <w:spacing w:after="120"/>
      </w:pPr>
      <w:r>
        <w:rPr>
          <w:sz w:val="22"/>
        </w:rPr>
        <w:t>The findings are consistent with a single, coherent explanation:</w:t>
      </w:r>
    </w:p>
    <w:p>
      <w:pPr>
        <w:pStyle w:val="ListBullet"/>
        <w:spacing w:after="60"/>
      </w:pPr>
      <w:r>
        <w:rPr>
          <w:sz w:val="22"/>
        </w:rPr>
        <w:t xml:space="preserve">The depositor </w:t>
      </w:r>
      <w:r>
        <w:rPr>
          <w:b/>
          <w:sz w:val="22"/>
        </w:rPr>
        <w:t>knew they were using MGISEQ-2000RS</w:t>
      </w:r>
      <w:r>
        <w:rPr>
          <w:sz w:val="22"/>
        </w:rPr>
        <w:t xml:space="preserve"> (their own description text).</w:t>
      </w:r>
    </w:p>
    <w:p>
      <w:pPr>
        <w:pStyle w:val="ListBullet"/>
        <w:spacing w:after="60"/>
      </w:pPr>
      <w:r>
        <w:rPr>
          <w:sz w:val="22"/>
        </w:rPr>
        <w:t xml:space="preserve">They deliberately selected a different platform in the controlled metadata field — </w:t>
      </w:r>
      <w:r>
        <w:rPr>
          <w:b/>
          <w:sz w:val="22"/>
        </w:rPr>
        <w:t>selectively, for the five libraries bearing anomalous signals</w:t>
      </w:r>
      <w:r>
        <w:rPr>
          <w:sz w:val="22"/>
        </w:rPr>
        <w:t>.</w:t>
      </w:r>
    </w:p>
    <w:p>
      <w:pPr>
        <w:pStyle w:val="ListBullet"/>
        <w:spacing w:after="60"/>
      </w:pPr>
      <w:r>
        <w:rPr>
          <w:sz w:val="22"/>
        </w:rPr>
        <w:t xml:space="preserve">The use of two different false labels (HiSeq 3000 and HiSeq 1000) for libraries from a single flowcell indicates </w:t>
      </w:r>
      <w:r>
        <w:rPr>
          <w:b/>
          <w:sz w:val="22"/>
        </w:rPr>
        <w:t>carelessness in execution</w:t>
      </w:r>
      <w:r>
        <w:rPr>
          <w:sz w:val="22"/>
        </w:rPr>
        <w:t>, not ignorance of the correct platform.</w:t>
      </w:r>
    </w:p>
    <w:p>
      <w:pPr>
        <w:pStyle w:val="ListBullet"/>
        <w:spacing w:after="60"/>
      </w:pPr>
      <w:r>
        <w:rPr>
          <w:sz w:val="22"/>
        </w:rPr>
        <w:t xml:space="preserve">The primary effect is to render flowcell v300043428 inaccessible via platform-filtered searches. Positions L04_121 and L04_122 are present in NCBI S3 storage (embedded in SRR11092062/63) but not independently addressable without credentials. Positions L04_1–120 and L02_128+ are </w:t>
      </w:r>
      <w:r>
        <w:rPr>
          <w:b/>
          <w:sz w:val="22"/>
        </w:rPr>
        <w:t>not found in any public database</w:t>
      </w:r>
      <w:r>
        <w:rPr>
          <w:sz w:val="22"/>
        </w:rPr>
        <w:t xml:space="preserve"> (NCBI, ENA, NGDC, CNGB — </w:t>
      </w:r>
      <w:r>
        <w:rPr>
          <w:b/>
          <w:sz w:val="22"/>
        </w:rPr>
        <w:t>all four verified</w:t>
      </w:r>
      <w:r>
        <w:rPr>
          <w:sz w:val="22"/>
        </w:rPr>
        <w:t>).</w:t>
      </w:r>
    </w:p>
    <w:p>
      <w:pPr>
        <w:spacing w:after="40"/>
      </w:pPr>
    </w:p>
    <w:p>
      <w:pPr>
        <w:spacing w:after="120"/>
      </w:pPr>
      <w:r>
        <w:rPr>
          <w:sz w:val="22"/>
        </w:rPr>
        <w:t xml:space="preserve">The combination of internally contradictory metadata, selective mislabeling pattern, technical impossibility, and the NGDC/NCBI divergence </w:t>
      </w:r>
      <w:r>
        <w:rPr>
          <w:b/>
          <w:sz w:val="22"/>
        </w:rPr>
        <w:t>definitively precludes a parsimonious administrative explanation</w:t>
      </w:r>
      <w:r>
        <w:rPr>
          <w:sz w:val="22"/>
        </w:rPr>
        <w:t xml:space="preserve">. The NGDC finding is the </w:t>
      </w:r>
      <w:r>
        <w:rPr>
          <w:b/>
          <w:sz w:val="22"/>
        </w:rPr>
        <w:t>single strongest indicator</w:t>
      </w:r>
      <w:r>
        <w:rPr>
          <w:sz w:val="22"/>
        </w:rPr>
        <w:t xml:space="preserve">: the same depositors entered the correct platform in the Chinese national database and the incorrect platform in the international database. </w:t>
      </w:r>
      <w:r>
        <w:rPr>
          <w:b/>
          <w:sz w:val="22"/>
        </w:rPr>
        <w:t>Ignorance is no longer a defensible position.</w:t>
      </w:r>
    </w:p>
    <w:p>
      <w:pPr>
        <w:pStyle w:val="Heading1"/>
      </w:pPr>
      <w:r>
        <w:t>6. Open investigative questions</w:t>
      </w:r>
    </w:p>
    <w:p>
      <w:pPr>
        <w:spacing w:after="120"/>
      </w:pPr>
      <w:r>
        <w:rPr>
          <w:sz w:val="22"/>
        </w:rPr>
        <w:t>The following steps could further substantiate these findings:</w:t>
      </w:r>
    </w:p>
    <w:p>
      <w:pPr>
        <w:pStyle w:val="ListBullet"/>
        <w:spacing w:after="60"/>
      </w:pPr>
      <w:r>
        <w:rPr>
          <w:sz w:val="22"/>
        </w:rPr>
        <w:t xml:space="preserve">NGDC/GSA CRA002423: </w:t>
      </w:r>
      <w:r>
        <w:rPr>
          <w:b/>
          <w:sz w:val="22"/>
        </w:rPr>
        <w:t>✓ COMPLETED</w:t>
      </w:r>
      <w:r>
        <w:rPr>
          <w:sz w:val="22"/>
        </w:rPr>
        <w:t xml:space="preserve"> (11 July 2026). All five MGISEQ libraries correctly labeled as MGISEQ-2000RS. MiSeq libraries correctly labeled. Divergence with NCBI confirmed.</w:t>
      </w:r>
    </w:p>
    <w:p>
      <w:pPr>
        <w:pStyle w:val="ListBullet"/>
        <w:spacing w:after="60"/>
      </w:pPr>
      <w:r>
        <w:rPr>
          <w:sz w:val="22"/>
        </w:rPr>
        <w:t xml:space="preserve">Other WIV submissions on NCBI SRA: are other MGISEQ runs from the same institution correctly labeled? If so, the mislabeling is </w:t>
      </w:r>
      <w:r>
        <w:rPr>
          <w:b/>
          <w:sz w:val="22"/>
        </w:rPr>
        <w:t>selective (project-specific)</w:t>
      </w:r>
      <w:r>
        <w:rPr>
          <w:sz w:val="22"/>
        </w:rPr>
        <w:t>, not institutional.</w:t>
      </w:r>
    </w:p>
    <w:p>
      <w:pPr>
        <w:pStyle w:val="ListBullet"/>
        <w:spacing w:after="60"/>
      </w:pPr>
      <w:r>
        <w:rPr>
          <w:sz w:val="22"/>
        </w:rPr>
        <w:t xml:space="preserve">Missing flowcell positions: L04_121 and L04_122 are present as merged submitted files in SRR11092062 and SRR11092063 (S3 credentials required for independent access; data already incorporated in our analyses). Positions L04_1–120 and L02_128+ are absent from all public databases (NCBI, ENA, NGDC, CNGB — verified 11 July 2026). </w:t>
      </w:r>
      <w:r>
        <w:rPr>
          <w:b/>
          <w:sz w:val="22"/>
        </w:rPr>
        <w:t>Trail ends here.</w:t>
      </w:r>
    </w:p>
    <w:p>
      <w:pPr>
        <w:pStyle w:val="ListBullet"/>
        <w:spacing w:after="60"/>
      </w:pPr>
      <w:r>
        <w:rPr>
          <w:sz w:val="22"/>
        </w:rPr>
        <w:t xml:space="preserve">Raw reads for 109 additional samples (SAMC311431–SAMC311531): absent from all public databases. No formal policy violation is established (PRJNA605983 was never promised in the paper). Forensically relevant: Batch 2 assemblies were deposited in </w:t>
      </w:r>
      <w:r>
        <w:rPr>
          <w:b/>
          <w:sz w:val="22"/>
        </w:rPr>
        <w:t>January 2021</w:t>
      </w:r>
      <w:r>
        <w:rPr>
          <w:sz w:val="22"/>
        </w:rPr>
        <w:t xml:space="preserve"> — the period in which international scrutiny of SARS-CoV-2 origins was intensifying and initial FOIA requests were being filed. Assemblies permit sequence verification but </w:t>
      </w:r>
      <w:r>
        <w:rPr>
          <w:b/>
          <w:sz w:val="22"/>
        </w:rPr>
        <w:t>preclude forensic analysis of raw data</w:t>
      </w:r>
      <w:r>
        <w:rPr>
          <w:sz w:val="22"/>
        </w:rPr>
        <w:t>.</w:t>
      </w:r>
    </w:p>
    <w:p>
      <w:pPr>
        <w:pStyle w:val="ListBullet"/>
        <w:spacing w:after="60"/>
      </w:pPr>
      <w:r>
        <w:rPr>
          <w:b/>
          <w:sz w:val="22"/>
        </w:rPr>
        <w:t>Formal contact with NCBI</w:t>
      </w:r>
      <w:r>
        <w:rPr>
          <w:sz w:val="22"/>
        </w:rPr>
        <w:t>: a metadata correction request would compel an official response identifying the source of the mislabeling.</w:t>
      </w:r>
    </w:p>
    <w:p/>
    <w:p>
      <w:pPr>
        <w:spacing w:after="4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787878"/>
          <w:sz w:val="18"/>
        </w:rPr>
        <w:t>Supplementary document — Vermeer &amp; Louwen 2026  ·  Not for distribution without authorisation  ·  Data sources: NCBI SRA / ENA XML / NGDC (retrieved 11 July 2026)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