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CA" w:rsidRDefault="003653CA" w:rsidP="003653CA"/>
    <w:p w:rsidR="004B5A89" w:rsidRPr="00DB46C6" w:rsidRDefault="003653CA" w:rsidP="003653CA">
      <w:pPr>
        <w:pStyle w:val="ListParagraph"/>
        <w:numPr>
          <w:ilvl w:val="0"/>
          <w:numId w:val="1"/>
        </w:numPr>
        <w:rPr>
          <w:b/>
          <w:color w:val="0070C0"/>
          <w:u w:val="single"/>
        </w:rPr>
      </w:pPr>
      <w:r w:rsidRPr="00DB46C6">
        <w:rPr>
          <w:b/>
          <w:color w:val="0070C0"/>
          <w:u w:val="single"/>
        </w:rPr>
        <w:t>Introduction to business problem</w:t>
      </w:r>
    </w:p>
    <w:p w:rsidR="00F53B6D" w:rsidRDefault="007B1177" w:rsidP="00F53B6D">
      <w:r>
        <w:t>Company Four is an upstream provider of automation and control products and services, to</w:t>
      </w:r>
      <w:r w:rsidR="007C5DB4">
        <w:t xml:space="preserve"> process based industries. They cater to an international clientele, with a strategic focus on the Asia Pacific Region</w:t>
      </w:r>
      <w:r w:rsidR="00AB4F88">
        <w:t xml:space="preserve"> that include oil and gas, Petrochemicals, Beverage</w:t>
      </w:r>
      <w:r w:rsidR="00DB0A48">
        <w:t xml:space="preserve"> and wastewater treatment</w:t>
      </w:r>
      <w:r w:rsidR="00F53B6D">
        <w:t xml:space="preserve">. </w:t>
      </w:r>
      <w:r w:rsidR="007C5DB4">
        <w:t xml:space="preserve"> </w:t>
      </w:r>
      <w:r>
        <w:t xml:space="preserve"> </w:t>
      </w:r>
      <w:r w:rsidR="00F53B6D">
        <w:t>Their core products offerings include:</w:t>
      </w:r>
    </w:p>
    <w:p w:rsidR="00F53B6D" w:rsidRDefault="00F53B6D" w:rsidP="00F53B6D">
      <w:proofErr w:type="spellStart"/>
      <w:r>
        <w:t>i</w:t>
      </w:r>
      <w:proofErr w:type="spellEnd"/>
      <w:r>
        <w:t xml:space="preserve">) Process automation </w:t>
      </w:r>
      <w:r w:rsidR="008768D6">
        <w:t>systems</w:t>
      </w:r>
    </w:p>
    <w:p w:rsidR="008768D6" w:rsidRDefault="00F53B6D" w:rsidP="00F53B6D">
      <w:r>
        <w:t xml:space="preserve">ii) Measurement &amp; instrumentation devices </w:t>
      </w:r>
    </w:p>
    <w:p w:rsidR="00F53B6D" w:rsidRDefault="00F53B6D" w:rsidP="00F53B6D">
      <w:r>
        <w:t xml:space="preserve">iii) High-performance </w:t>
      </w:r>
      <w:r w:rsidR="008768D6">
        <w:t>automation controller solution</w:t>
      </w:r>
    </w:p>
    <w:p w:rsidR="00F53B6D" w:rsidRDefault="00F53B6D" w:rsidP="00F53B6D">
      <w:r>
        <w:t xml:space="preserve">iv) telemetry systems with 24/7 customer service and </w:t>
      </w:r>
    </w:p>
    <w:p w:rsidR="00F53B6D" w:rsidRDefault="00F53B6D" w:rsidP="00F53B6D">
      <w:r>
        <w:t xml:space="preserve">v) software solution to close the loop for optimal control and decision-making in manufacturing, industry, infrastructure, data </w:t>
      </w:r>
      <w:r w:rsidR="004A4B67">
        <w:t>centres</w:t>
      </w:r>
      <w:r>
        <w:t xml:space="preserve">, buildings, and homes. </w:t>
      </w:r>
    </w:p>
    <w:p w:rsidR="003653CA" w:rsidRDefault="00F53B6D" w:rsidP="00F53B6D">
      <w:r>
        <w:t>The main goal of the Company Four is to increase the market share in Asia Pacific.</w:t>
      </w:r>
      <w:r w:rsidR="00B94A75">
        <w:t xml:space="preserve"> The scope of this document’s study is to </w:t>
      </w:r>
      <w:proofErr w:type="spellStart"/>
      <w:r w:rsidR="00B94A75">
        <w:t>analyze</w:t>
      </w:r>
      <w:proofErr w:type="spellEnd"/>
      <w:r w:rsidR="00B94A75">
        <w:t xml:space="preserve"> from the product perspective, to do a </w:t>
      </w:r>
      <w:proofErr w:type="gramStart"/>
      <w:r w:rsidR="00B94A75">
        <w:t>high level</w:t>
      </w:r>
      <w:proofErr w:type="gramEnd"/>
      <w:r w:rsidR="00B94A75">
        <w:t xml:space="preserve"> exploratory study on the markets our various products are successful in, the products that we might want to discontinue or innovate upon, or to find areas where our product support may be less than ideal. </w:t>
      </w:r>
    </w:p>
    <w:p w:rsidR="00B94A75" w:rsidRDefault="00B94A75" w:rsidP="00F53B6D">
      <w:r>
        <w:t xml:space="preserve">Revenue and Orders are the lifeblood of any company, and one key area that is a key ingredient of Customer Orders would be our Products, </w:t>
      </w:r>
      <w:r w:rsidR="0075579E">
        <w:t>so the aim is to find out</w:t>
      </w:r>
    </w:p>
    <w:p w:rsidR="0075579E" w:rsidRDefault="0075579E" w:rsidP="0075579E">
      <w:pPr>
        <w:pStyle w:val="ListParagraph"/>
        <w:numPr>
          <w:ilvl w:val="0"/>
          <w:numId w:val="2"/>
        </w:numPr>
      </w:pPr>
      <w:r>
        <w:t xml:space="preserve">Which markets are using which </w:t>
      </w:r>
      <w:proofErr w:type="gramStart"/>
      <w:r>
        <w:t>products</w:t>
      </w:r>
      <w:proofErr w:type="gramEnd"/>
    </w:p>
    <w:p w:rsidR="0075579E" w:rsidRDefault="0075579E" w:rsidP="0075579E">
      <w:pPr>
        <w:pStyle w:val="ListParagraph"/>
        <w:numPr>
          <w:ilvl w:val="0"/>
          <w:numId w:val="2"/>
        </w:numPr>
      </w:pPr>
      <w:r>
        <w:t>Which products are the hot sellers, and which ones need improvement</w:t>
      </w:r>
    </w:p>
    <w:p w:rsidR="00F206D8" w:rsidRDefault="00F206D8" w:rsidP="0075579E">
      <w:pPr>
        <w:pStyle w:val="ListParagraph"/>
        <w:numPr>
          <w:ilvl w:val="0"/>
          <w:numId w:val="2"/>
        </w:numPr>
      </w:pPr>
      <w:r>
        <w:t>Product properties such as seasonality of product demand</w:t>
      </w:r>
    </w:p>
    <w:p w:rsidR="00F206D8" w:rsidRDefault="00F206D8" w:rsidP="00F206D8">
      <w:pPr>
        <w:pStyle w:val="ListParagraph"/>
      </w:pPr>
    </w:p>
    <w:p w:rsidR="005A7F98" w:rsidRDefault="00F206D8" w:rsidP="0065390E">
      <w:r>
        <w:t>With the aim of suggesting solutions or to conduct a more thorough investigation at a later stage</w:t>
      </w:r>
    </w:p>
    <w:p w:rsidR="0065390E" w:rsidRPr="00DB46C6" w:rsidRDefault="002D2396" w:rsidP="002D2396">
      <w:pPr>
        <w:pStyle w:val="ListParagraph"/>
        <w:numPr>
          <w:ilvl w:val="0"/>
          <w:numId w:val="1"/>
        </w:numPr>
        <w:rPr>
          <w:b/>
          <w:color w:val="0070C0"/>
          <w:u w:val="single"/>
        </w:rPr>
      </w:pPr>
      <w:r w:rsidRPr="00DB46C6">
        <w:rPr>
          <w:b/>
          <w:color w:val="0070C0"/>
          <w:u w:val="single"/>
        </w:rPr>
        <w:t>Data Modelling</w:t>
      </w:r>
    </w:p>
    <w:p w:rsidR="00521E7B" w:rsidRDefault="00521E7B">
      <w:r>
        <w:t>The choice of dashboard tool used is Tableau, with some fixes done in Excel before being loaded into Tableau</w:t>
      </w:r>
    </w:p>
    <w:p w:rsidR="0056726B" w:rsidRDefault="00034150">
      <w:r>
        <w:t xml:space="preserve">The data was sourced from our teammate’s firm and firm names, product names were </w:t>
      </w:r>
      <w:r w:rsidRPr="00034150">
        <w:t>anonymized</w:t>
      </w:r>
    </w:p>
    <w:p w:rsidR="00034150" w:rsidRDefault="00034150"/>
    <w:p w:rsidR="004B5A89" w:rsidRDefault="00A6526E">
      <w:r>
        <w:t>Data Definition</w:t>
      </w:r>
      <w:r w:rsidR="0090602E">
        <w:t xml:space="preserve"> </w:t>
      </w:r>
      <w:proofErr w:type="gramStart"/>
      <w:r w:rsidR="0090602E">
        <w:t>( In</w:t>
      </w:r>
      <w:proofErr w:type="gramEnd"/>
      <w:r w:rsidR="0090602E">
        <w:t xml:space="preserve"> the excel file package attached below)</w:t>
      </w:r>
    </w:p>
    <w:p w:rsidR="00A6526E" w:rsidRDefault="00A95FA6">
      <w:r>
        <w:object w:dxaOrig="1533"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612209331" r:id="rId10"/>
        </w:object>
      </w:r>
    </w:p>
    <w:p w:rsidR="009E1DEB" w:rsidRDefault="009E1DEB"/>
    <w:p w:rsidR="009E1DEB" w:rsidRPr="00D218CF" w:rsidRDefault="009E1DEB">
      <w:pPr>
        <w:rPr>
          <w:b/>
          <w:u w:val="single"/>
        </w:rPr>
      </w:pPr>
      <w:r w:rsidRPr="00D218CF">
        <w:rPr>
          <w:b/>
          <w:u w:val="single"/>
        </w:rPr>
        <w:t>Data Quality</w:t>
      </w:r>
    </w:p>
    <w:p w:rsidR="0096628E" w:rsidRDefault="005D6A6F">
      <w:r>
        <w:rPr>
          <w:noProof/>
          <w:lang w:eastAsia="en-SG"/>
        </w:rPr>
        <w:drawing>
          <wp:inline distT="0" distB="0" distL="0" distR="0">
            <wp:extent cx="2232831" cy="23060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918" cy="2314391"/>
                    </a:xfrm>
                    <a:prstGeom prst="rect">
                      <a:avLst/>
                    </a:prstGeom>
                  </pic:spPr>
                </pic:pic>
              </a:graphicData>
            </a:graphic>
          </wp:inline>
        </w:drawing>
      </w:r>
      <w:r w:rsidR="00F56FF5">
        <w:rPr>
          <w:noProof/>
          <w:lang w:eastAsia="en-SG"/>
        </w:rPr>
        <w:drawing>
          <wp:inline distT="0" distB="0" distL="0" distR="0">
            <wp:extent cx="2942514" cy="163159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42414" cy="1631540"/>
                    </a:xfrm>
                    <a:prstGeom prst="rect">
                      <a:avLst/>
                    </a:prstGeom>
                    <a:noFill/>
                    <a:ln w="9525">
                      <a:noFill/>
                      <a:miter lim="800000"/>
                      <a:headEnd/>
                      <a:tailEnd/>
                    </a:ln>
                  </pic:spPr>
                </pic:pic>
              </a:graphicData>
            </a:graphic>
          </wp:inline>
        </w:drawing>
      </w:r>
    </w:p>
    <w:p w:rsidR="007B0D18" w:rsidRDefault="0096628E">
      <w:r>
        <w:t xml:space="preserve"> F</w:t>
      </w:r>
      <w:r w:rsidR="00F63FD2">
        <w:t>iscal year/period and month/year not in standard date format that they can read</w:t>
      </w:r>
      <w:r w:rsidR="00F56FF5">
        <w:t>, so an extra column was created</w:t>
      </w:r>
      <w:r w:rsidR="00364ED9">
        <w:t xml:space="preserve">, month year by slicing the fiscal year/period , removing the first zero, to become 06.2016, and then  </w:t>
      </w:r>
      <w:r w:rsidR="00A40429">
        <w:t>adding  01, for the first day of the month</w:t>
      </w:r>
      <w:r w:rsidR="00364ED9">
        <w:t xml:space="preserve">, and replacing dots, . ,  with slashes, /, </w:t>
      </w:r>
      <w:r w:rsidR="00A40429">
        <w:t>to obtain a valid standard date range which can be used</w:t>
      </w:r>
    </w:p>
    <w:p w:rsidR="007B0D18" w:rsidRDefault="007B0D18">
      <w:r>
        <w:rPr>
          <w:noProof/>
          <w:lang w:eastAsia="en-SG"/>
        </w:rPr>
        <w:drawing>
          <wp:inline distT="0" distB="0" distL="0" distR="0">
            <wp:extent cx="2840156" cy="19972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41910" cy="1998492"/>
                    </a:xfrm>
                    <a:prstGeom prst="rect">
                      <a:avLst/>
                    </a:prstGeom>
                    <a:noFill/>
                    <a:ln w="9525">
                      <a:noFill/>
                      <a:miter lim="800000"/>
                      <a:headEnd/>
                      <a:tailEnd/>
                    </a:ln>
                  </pic:spPr>
                </pic:pic>
              </a:graphicData>
            </a:graphic>
          </wp:inline>
        </w:drawing>
      </w:r>
    </w:p>
    <w:p w:rsidR="00034150" w:rsidRDefault="00767FAE">
      <w:proofErr w:type="gramStart"/>
      <w:r>
        <w:t>Also</w:t>
      </w:r>
      <w:proofErr w:type="gramEnd"/>
      <w:r>
        <w:t xml:space="preserve"> by checking the locations of the country end user, or the ultimate buyer</w:t>
      </w:r>
      <w:r w:rsidR="00372EFC">
        <w:t>, some of the values were not recognized by tableau, for geo-location, so they were fixed manually, as shown above</w:t>
      </w:r>
    </w:p>
    <w:p w:rsidR="00034150" w:rsidRDefault="00EB4B9F">
      <w:r>
        <w:t>Furthermore</w:t>
      </w:r>
      <w:r w:rsidR="0069124A">
        <w:t>, the data came in a locked excel file format .</w:t>
      </w:r>
      <w:proofErr w:type="gramStart"/>
      <w:r w:rsidR="0069124A">
        <w:t>XLSX ,</w:t>
      </w:r>
      <w:proofErr w:type="gramEnd"/>
      <w:r w:rsidR="00C83332">
        <w:t xml:space="preserve"> which was extracted using R, and saved into a CSV for better compatibility, as some issues was faced accessing the files initially </w:t>
      </w:r>
      <w:r w:rsidR="00D861E0">
        <w:t>, and was unable to create a base table from the excel book</w:t>
      </w:r>
      <w:r w:rsidR="00E2781C">
        <w:t>, which turned out from a Google search to be a limitation of the product</w:t>
      </w:r>
    </w:p>
    <w:p w:rsidR="004E0902" w:rsidRDefault="004E0902"/>
    <w:p w:rsidR="004E0902" w:rsidRDefault="004E0902"/>
    <w:p w:rsidR="004E0902" w:rsidRDefault="004E0902"/>
    <w:p w:rsidR="004E0902" w:rsidRDefault="004E0902"/>
    <w:p w:rsidR="004E0902" w:rsidRDefault="004E0902"/>
    <w:p w:rsidR="00034150" w:rsidRDefault="007D26C0">
      <w:r>
        <w:rPr>
          <w:noProof/>
          <w:lang w:eastAsia="en-SG"/>
        </w:rPr>
        <w:pict>
          <v:shapetype id="_x0000_t32" coordsize="21600,21600" o:spt="32" o:oned="t" path="m,l21600,21600e" filled="f">
            <v:path arrowok="t" fillok="f" o:connecttype="none"/>
            <o:lock v:ext="edit" shapetype="t"/>
          </v:shapetype>
          <v:shape id="_x0000_s1027" type="#_x0000_t32" style="position:absolute;margin-left:90pt;margin-top:43.3pt;width:25.8pt;height:20.35pt;flip:x;z-index:251658240" o:connectortype="straight">
            <v:stroke endarrow="block"/>
          </v:shape>
        </w:pict>
      </w:r>
      <w:r w:rsidR="00D674F7">
        <w:t>For this exercise there was only one excel sheet</w:t>
      </w:r>
      <w:r w:rsidR="004E0902">
        <w:t xml:space="preserve"> of data used, so that created only one table in tableau, not requiring any joins. In total </w:t>
      </w:r>
      <w:r w:rsidR="007620D6">
        <w:t>the dataset contains</w:t>
      </w:r>
      <w:r w:rsidR="004E0902">
        <w:t xml:space="preserve"> 91564 rows of data, with 28 columns</w:t>
      </w:r>
      <w:r w:rsidR="007976CE">
        <w:t xml:space="preserve">, </w:t>
      </w:r>
      <w:r w:rsidR="004B1385">
        <w:t>for the duration of years Jan</w:t>
      </w:r>
      <w:r w:rsidR="00754109">
        <w:t xml:space="preserve"> </w:t>
      </w:r>
      <w:r w:rsidR="004B1385">
        <w:t>2016 until Dec 2017</w:t>
      </w:r>
      <w:r w:rsidR="001F1C65">
        <w:t>,</w:t>
      </w:r>
      <w:r w:rsidR="004B1385">
        <w:t xml:space="preserve"> </w:t>
      </w:r>
      <w:r w:rsidR="007976CE">
        <w:t xml:space="preserve">so the data model is as shown below </w:t>
      </w:r>
    </w:p>
    <w:p w:rsidR="00D674F7" w:rsidRDefault="003555E0">
      <w:r>
        <w:rPr>
          <w:noProof/>
          <w:lang w:eastAsia="en-SG"/>
        </w:rPr>
        <w:drawing>
          <wp:inline distT="0" distB="0" distL="0" distR="0">
            <wp:extent cx="3448769" cy="210128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450085" cy="2102084"/>
                    </a:xfrm>
                    <a:prstGeom prst="rect">
                      <a:avLst/>
                    </a:prstGeom>
                    <a:noFill/>
                    <a:ln w="9525">
                      <a:noFill/>
                      <a:miter lim="800000"/>
                      <a:headEnd/>
                      <a:tailEnd/>
                    </a:ln>
                  </pic:spPr>
                </pic:pic>
              </a:graphicData>
            </a:graphic>
          </wp:inline>
        </w:drawing>
      </w:r>
    </w:p>
    <w:p w:rsidR="007976CE" w:rsidRDefault="007976CE"/>
    <w:p w:rsidR="00217834" w:rsidRPr="00217834" w:rsidRDefault="00217834" w:rsidP="00217834">
      <w:pPr>
        <w:pStyle w:val="ListParagraph"/>
        <w:numPr>
          <w:ilvl w:val="0"/>
          <w:numId w:val="1"/>
        </w:numPr>
        <w:rPr>
          <w:b/>
          <w:color w:val="0070C0"/>
          <w:u w:val="single"/>
        </w:rPr>
      </w:pPr>
      <w:r w:rsidRPr="00217834">
        <w:rPr>
          <w:b/>
          <w:color w:val="0070C0"/>
          <w:u w:val="single"/>
        </w:rPr>
        <w:t>Overall Dashboard layout</w:t>
      </w:r>
    </w:p>
    <w:p w:rsidR="00346A33" w:rsidRDefault="00B62B59">
      <w:r>
        <w:t xml:space="preserve">The dashboard comes in two parts, one pane for the executives to get a </w:t>
      </w:r>
      <w:proofErr w:type="gramStart"/>
      <w:r>
        <w:t>high level</w:t>
      </w:r>
      <w:proofErr w:type="gramEnd"/>
      <w:r>
        <w:t xml:space="preserve"> view on the distribution of products around key markets, and the 2</w:t>
      </w:r>
      <w:r w:rsidRPr="00B62B59">
        <w:rPr>
          <w:vertAlign w:val="superscript"/>
        </w:rPr>
        <w:t>nd</w:t>
      </w:r>
      <w:r>
        <w:t xml:space="preserve"> pane for managers to be able to drill down and have further discussions on which products would be beneficial to promote, to innovate upon, or to discontinue or write off due to asset impairment</w:t>
      </w:r>
      <w:r w:rsidR="00A92853">
        <w:t>, to support their decision making process</w:t>
      </w:r>
    </w:p>
    <w:p w:rsidR="00600265" w:rsidRDefault="00346A33">
      <w:r>
        <w:t xml:space="preserve">As the company does not hold inventory, aka they practice Just in time inventory management, one of the aims of the dashboard would be to identify product </w:t>
      </w:r>
      <w:proofErr w:type="gramStart"/>
      <w:r>
        <w:t xml:space="preserve">lines </w:t>
      </w:r>
      <w:r w:rsidR="00B62B59">
        <w:t xml:space="preserve"> </w:t>
      </w:r>
      <w:r w:rsidR="00653213">
        <w:t>which</w:t>
      </w:r>
      <w:proofErr w:type="gramEnd"/>
      <w:r w:rsidR="00653213">
        <w:t xml:space="preserve"> are likely more efficient for the firm to hold</w:t>
      </w:r>
    </w:p>
    <w:p w:rsidR="00600265" w:rsidRPr="00600265" w:rsidRDefault="00600265">
      <w:pPr>
        <w:rPr>
          <w:u w:val="single"/>
        </w:rPr>
      </w:pPr>
      <w:r w:rsidRPr="00600265">
        <w:rPr>
          <w:u w:val="single"/>
        </w:rPr>
        <w:t>Executive Director pane</w:t>
      </w:r>
    </w:p>
    <w:p w:rsidR="00600265" w:rsidRDefault="00600265">
      <w:r>
        <w:rPr>
          <w:noProof/>
          <w:lang w:eastAsia="en-SG"/>
        </w:rPr>
        <w:drawing>
          <wp:inline distT="0" distB="0" distL="0" distR="0">
            <wp:extent cx="4086225" cy="2298449"/>
            <wp:effectExtent l="19050" t="0" r="0" b="0"/>
            <wp:docPr id="6" name="Picture 5" descr="Dashboard Execu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Executive.png"/>
                    <pic:cNvPicPr/>
                  </pic:nvPicPr>
                  <pic:blipFill>
                    <a:blip r:embed="rId15"/>
                    <a:stretch>
                      <a:fillRect/>
                    </a:stretch>
                  </pic:blipFill>
                  <pic:spPr>
                    <a:xfrm>
                      <a:off x="0" y="0"/>
                      <a:ext cx="4091449" cy="2301388"/>
                    </a:xfrm>
                    <a:prstGeom prst="rect">
                      <a:avLst/>
                    </a:prstGeom>
                  </pic:spPr>
                </pic:pic>
              </a:graphicData>
            </a:graphic>
          </wp:inline>
        </w:drawing>
      </w:r>
    </w:p>
    <w:p w:rsidR="00600265" w:rsidRDefault="00600265">
      <w:r>
        <w:t xml:space="preserve">The main selector in this case would be the top left, </w:t>
      </w:r>
      <w:r w:rsidR="007D40DE">
        <w:t>‘</w:t>
      </w:r>
      <w:r w:rsidR="007D40DE">
        <w:rPr>
          <w:b/>
        </w:rPr>
        <w:t>Asia F</w:t>
      </w:r>
      <w:r w:rsidRPr="00701EDB">
        <w:rPr>
          <w:b/>
        </w:rPr>
        <w:t>ocus</w:t>
      </w:r>
      <w:r w:rsidR="007D40DE">
        <w:rPr>
          <w:b/>
        </w:rPr>
        <w:t xml:space="preserve">’ </w:t>
      </w:r>
      <w:r>
        <w:t>, where it shows a global high level view of the current orders per market in the 2 year dataset, 2016-2017</w:t>
      </w:r>
      <w:r w:rsidR="00CE094E">
        <w:t xml:space="preserve">, where the blue circles are part of the APAC grouping, and grey circles are the rest of the markets, some high level insights that can be gleaned from this </w:t>
      </w:r>
      <w:r w:rsidR="00CE094E">
        <w:lastRenderedPageBreak/>
        <w:t>would be that</w:t>
      </w:r>
      <w:r w:rsidR="00F14B49">
        <w:t xml:space="preserve"> the firms biggest market segment is likely to be APAC, Australia and Middle East, based on the End user Domiciles</w:t>
      </w:r>
      <w:r w:rsidR="00AE68D4">
        <w:t xml:space="preserve">. It is </w:t>
      </w:r>
      <w:r w:rsidR="00701EDB">
        <w:t>segmentation</w:t>
      </w:r>
      <w:r w:rsidR="00AE68D4">
        <w:t xml:space="preserve"> between APAC and other zones</w:t>
      </w:r>
    </w:p>
    <w:p w:rsidR="00AE68D4" w:rsidRDefault="00AE68D4">
      <w:r>
        <w:t>In the APAC segment</w:t>
      </w:r>
      <w:r w:rsidR="00F4763E">
        <w:t xml:space="preserve">, China segment looks like it has opportunities for product growth, </w:t>
      </w:r>
      <w:r w:rsidR="0014243F">
        <w:t>and India, Korea and Japan are likely strong markets</w:t>
      </w:r>
    </w:p>
    <w:p w:rsidR="00F05C83" w:rsidRDefault="00F05C83">
      <w:r>
        <w:t>It is useful to note that when orders are cancelled, what the firm does is input a negative value to the database with the product, based on client’s needs, therefore one limitation to the analysis is that these are all summed Order Values</w:t>
      </w:r>
      <w:r w:rsidR="004556F8">
        <w:t>, as the median or average of the values would be affected by the negative values</w:t>
      </w:r>
    </w:p>
    <w:p w:rsidR="00376FE4" w:rsidRDefault="00376FE4">
      <w:r>
        <w:t>The graph on the bottom right, ‘Product Sales Growth %’</w:t>
      </w:r>
      <w:r w:rsidR="00981EEE">
        <w:t xml:space="preserve">, </w:t>
      </w:r>
      <w:proofErr w:type="gramStart"/>
      <w:r w:rsidR="00981EEE">
        <w:t>is  based</w:t>
      </w:r>
      <w:proofErr w:type="gramEnd"/>
      <w:r w:rsidR="00981EEE">
        <w:t xml:space="preserve"> on rolling quartiles, meaning that it compares the current month’s summed order value with the previous quarter’s </w:t>
      </w:r>
      <w:r w:rsidR="00513E72">
        <w:t>, with the below formula</w:t>
      </w:r>
    </w:p>
    <w:p w:rsidR="00513E72" w:rsidRDefault="00513E72">
      <w:r>
        <w:rPr>
          <w:noProof/>
          <w:lang w:eastAsia="en-SG"/>
        </w:rPr>
        <w:drawing>
          <wp:inline distT="0" distB="0" distL="0" distR="0">
            <wp:extent cx="6188710" cy="609894"/>
            <wp:effectExtent l="19050" t="0" r="254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188710" cy="609894"/>
                    </a:xfrm>
                    <a:prstGeom prst="rect">
                      <a:avLst/>
                    </a:prstGeom>
                    <a:noFill/>
                    <a:ln w="9525">
                      <a:noFill/>
                      <a:miter lim="800000"/>
                      <a:headEnd/>
                      <a:tailEnd/>
                    </a:ln>
                  </pic:spPr>
                </pic:pic>
              </a:graphicData>
            </a:graphic>
          </wp:inline>
        </w:drawing>
      </w:r>
    </w:p>
    <w:p w:rsidR="00513E72" w:rsidRDefault="00513E72">
      <w:r>
        <w:t xml:space="preserve">Where </w:t>
      </w:r>
      <w:proofErr w:type="gramStart"/>
      <w:r>
        <w:t>ZN(</w:t>
      </w:r>
      <w:proofErr w:type="gramEnd"/>
      <w:r>
        <w:t>) replaces a null with a Zero, and Lookup returns the earlier values</w:t>
      </w:r>
      <w:r w:rsidR="00225E9C">
        <w:t>, so the ent</w:t>
      </w:r>
      <w:r w:rsidR="00534DA3">
        <w:t>ire calculation returns a value that acts like an index on Quintiles’ to see the rate of change</w:t>
      </w:r>
      <w:r w:rsidR="00281B0C">
        <w:t xml:space="preserve"> on a rolling month basis</w:t>
      </w:r>
    </w:p>
    <w:p w:rsidR="00534DA3" w:rsidRDefault="00534DA3">
      <w:r>
        <w:rPr>
          <w:noProof/>
          <w:lang w:eastAsia="en-SG"/>
        </w:rPr>
        <w:drawing>
          <wp:inline distT="0" distB="0" distL="0" distR="0">
            <wp:extent cx="2077169" cy="153949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077720" cy="1539907"/>
                    </a:xfrm>
                    <a:prstGeom prst="rect">
                      <a:avLst/>
                    </a:prstGeom>
                    <a:noFill/>
                    <a:ln w="9525">
                      <a:noFill/>
                      <a:miter lim="800000"/>
                      <a:headEnd/>
                      <a:tailEnd/>
                    </a:ln>
                  </pic:spPr>
                </pic:pic>
              </a:graphicData>
            </a:graphic>
          </wp:inline>
        </w:drawing>
      </w:r>
    </w:p>
    <w:p w:rsidR="00534DA3" w:rsidRDefault="00F92287">
      <w:r>
        <w:t xml:space="preserve">We can see two big spikes in </w:t>
      </w:r>
      <w:proofErr w:type="spellStart"/>
      <w:r>
        <w:t>june</w:t>
      </w:r>
      <w:proofErr w:type="spellEnd"/>
      <w:r>
        <w:t xml:space="preserve"> and December for 2016, which, on checking with the company sources, corresponds to the usual order booking period</w:t>
      </w:r>
      <w:r w:rsidR="00B264FA">
        <w:t>, but in 2017, the change month on month seems linear and is likely not growing very much</w:t>
      </w:r>
    </w:p>
    <w:p w:rsidR="00CA156E" w:rsidRDefault="00CA156E">
      <w:r>
        <w:rPr>
          <w:noProof/>
          <w:lang w:eastAsia="en-SG"/>
        </w:rPr>
        <w:drawing>
          <wp:inline distT="0" distB="0" distL="0" distR="0">
            <wp:extent cx="3618320" cy="2035834"/>
            <wp:effectExtent l="19050" t="0" r="11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622068" cy="2037943"/>
                    </a:xfrm>
                    <a:prstGeom prst="rect">
                      <a:avLst/>
                    </a:prstGeom>
                    <a:noFill/>
                    <a:ln w="9525">
                      <a:noFill/>
                      <a:miter lim="800000"/>
                      <a:headEnd/>
                      <a:tailEnd/>
                    </a:ln>
                  </pic:spPr>
                </pic:pic>
              </a:graphicData>
            </a:graphic>
          </wp:inline>
        </w:drawing>
      </w:r>
    </w:p>
    <w:p w:rsidR="00BB0D37" w:rsidRDefault="001661FB">
      <w:r>
        <w:t>If the executive chooses</w:t>
      </w:r>
      <w:r w:rsidR="00CA156E">
        <w:t xml:space="preserve"> to </w:t>
      </w:r>
      <w:r>
        <w:t>select</w:t>
      </w:r>
      <w:r w:rsidR="00CA156E">
        <w:t xml:space="preserve"> China, the dashboard will show the major Lines of </w:t>
      </w:r>
      <w:proofErr w:type="gramStart"/>
      <w:r w:rsidR="00CA156E">
        <w:t>Business  for</w:t>
      </w:r>
      <w:proofErr w:type="gramEnd"/>
      <w:r w:rsidR="00CA156E">
        <w:t xml:space="preserve"> the market, and the time trend shows the orders booked throughout the year in 2016 and 2017</w:t>
      </w:r>
      <w:r w:rsidR="004A4D57">
        <w:t xml:space="preserve">, so that the </w:t>
      </w:r>
      <w:r w:rsidR="004A4D57">
        <w:lastRenderedPageBreak/>
        <w:t>executives have more information to make better decisions on acquiring or removing business units to lo</w:t>
      </w:r>
      <w:r w:rsidR="00825D24">
        <w:t>wer operating costs to the firm.</w:t>
      </w:r>
    </w:p>
    <w:p w:rsidR="00CA156E" w:rsidRDefault="00825D24">
      <w:r>
        <w:t xml:space="preserve"> For Time Trend, </w:t>
      </w:r>
      <w:r w:rsidR="00BB0D37">
        <w:t>the spikes  likely represent order booking seasons,</w:t>
      </w:r>
      <w:r w:rsidR="009018EF">
        <w:t xml:space="preserve"> which make sense </w:t>
      </w:r>
      <w:r w:rsidR="00BB0D37">
        <w:t xml:space="preserve"> </w:t>
      </w:r>
      <w:r w:rsidR="009018EF" w:rsidRPr="009018EF">
        <w:t>if a high volume is ord</w:t>
      </w:r>
      <w:r w:rsidR="00171C64">
        <w:t xml:space="preserve">ered in the previous month, and the client </w:t>
      </w:r>
      <w:r w:rsidR="009018EF" w:rsidRPr="009018EF">
        <w:t xml:space="preserve">over ordered, </w:t>
      </w:r>
      <w:r w:rsidR="001E688A">
        <w:t xml:space="preserve">with </w:t>
      </w:r>
      <w:r w:rsidR="009018EF" w:rsidRPr="009018EF">
        <w:t>surplus ordered into the next month, and so next month is cancelled</w:t>
      </w:r>
      <w:r w:rsidR="009018EF">
        <w:t xml:space="preserve"> ,aka</w:t>
      </w:r>
      <w:r w:rsidR="00BB0D37">
        <w:t xml:space="preserve"> negative periods, like the drop in the last quarter of 2017,  likely show an increase in order cancellation, however as such data is not publicly available, more analysis needs to be conducted on this area, this is useful for the directors as it affects working capital turnover </w:t>
      </w:r>
    </w:p>
    <w:p w:rsidR="007724DB" w:rsidRDefault="007724DB" w:rsidP="007724DB">
      <w:pPr>
        <w:rPr>
          <w:u w:val="single"/>
        </w:rPr>
      </w:pPr>
      <w:r>
        <w:rPr>
          <w:u w:val="single"/>
        </w:rPr>
        <w:t>Managerial</w:t>
      </w:r>
      <w:r w:rsidRPr="00600265">
        <w:rPr>
          <w:u w:val="single"/>
        </w:rPr>
        <w:t xml:space="preserve"> </w:t>
      </w:r>
      <w:proofErr w:type="gramStart"/>
      <w:r>
        <w:rPr>
          <w:u w:val="single"/>
        </w:rPr>
        <w:t xml:space="preserve">View </w:t>
      </w:r>
      <w:r w:rsidRPr="00600265">
        <w:rPr>
          <w:u w:val="single"/>
        </w:rPr>
        <w:t xml:space="preserve"> pane</w:t>
      </w:r>
      <w:proofErr w:type="gramEnd"/>
    </w:p>
    <w:p w:rsidR="007724DB" w:rsidRDefault="007D26C0" w:rsidP="007724DB">
      <w:pPr>
        <w:rPr>
          <w:u w:val="single"/>
        </w:rPr>
      </w:pPr>
      <w:r>
        <w:rPr>
          <w:noProof/>
          <w:u w:val="single"/>
          <w:lang w:eastAsia="en-SG"/>
        </w:rPr>
        <w:pict>
          <v:shape id="_x0000_s1030" type="#_x0000_t32" style="position:absolute;margin-left:366pt;margin-top:138.8pt;width:49.1pt;height:3.75pt;flip:x y;z-index:251661312" o:connectortype="straight">
            <v:stroke endarrow="block"/>
          </v:shape>
        </w:pict>
      </w:r>
      <w:r>
        <w:rPr>
          <w:noProof/>
          <w:u w:val="single"/>
          <w:lang w:val="en-US" w:eastAsia="zh-TW"/>
        </w:rPr>
        <w:pict>
          <v:shapetype id="_x0000_t202" coordsize="21600,21600" o:spt="202" path="m,l,21600r21600,l21600,xe">
            <v:stroke joinstyle="miter"/>
            <v:path gradientshapeok="t" o:connecttype="rect"/>
          </v:shapetype>
          <v:shape id="_x0000_s1029" type="#_x0000_t202" style="position:absolute;margin-left:415.1pt;margin-top:134.3pt;width:117pt;height:22.05pt;z-index:251660288;mso-width-relative:margin;mso-height-relative:margin">
            <v:textbox>
              <w:txbxContent>
                <w:p w:rsidR="00C62558" w:rsidRDefault="00C62558">
                  <w:r>
                    <w:t>Hierarchical chooser</w:t>
                  </w:r>
                </w:p>
              </w:txbxContent>
            </v:textbox>
          </v:shape>
        </w:pict>
      </w:r>
      <w:r w:rsidR="007724DB">
        <w:rPr>
          <w:noProof/>
          <w:u w:val="single"/>
          <w:lang w:eastAsia="en-SG"/>
        </w:rPr>
        <w:drawing>
          <wp:inline distT="0" distB="0" distL="0" distR="0">
            <wp:extent cx="5174052" cy="2910338"/>
            <wp:effectExtent l="19050" t="0" r="7548" b="0"/>
            <wp:docPr id="9" name="Picture 8" descr="dashboard manag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managerial.png"/>
                    <pic:cNvPicPr/>
                  </pic:nvPicPr>
                  <pic:blipFill>
                    <a:blip r:embed="rId19"/>
                    <a:stretch>
                      <a:fillRect/>
                    </a:stretch>
                  </pic:blipFill>
                  <pic:spPr>
                    <a:xfrm>
                      <a:off x="0" y="0"/>
                      <a:ext cx="5173451" cy="2910000"/>
                    </a:xfrm>
                    <a:prstGeom prst="rect">
                      <a:avLst/>
                    </a:prstGeom>
                  </pic:spPr>
                </pic:pic>
              </a:graphicData>
            </a:graphic>
          </wp:inline>
        </w:drawing>
      </w:r>
    </w:p>
    <w:p w:rsidR="008A5E20" w:rsidRDefault="008A5E20" w:rsidP="007724DB">
      <w:r>
        <w:t>This view is aimed at Managers, who are more interested in knowing which products under the lines of business and products lines are more profitable which are less profitable</w:t>
      </w:r>
      <w:r w:rsidR="00E02128">
        <w:t xml:space="preserve">. </w:t>
      </w:r>
    </w:p>
    <w:p w:rsidR="00E02128" w:rsidRDefault="00E02128" w:rsidP="007724DB">
      <w:r>
        <w:t>Products have a hierarchical</w:t>
      </w:r>
      <w:r w:rsidR="00514EA4">
        <w:t xml:space="preserve"> grouping, where the executives look at the top level, </w:t>
      </w:r>
    </w:p>
    <w:p w:rsidR="00514EA4" w:rsidRDefault="00514EA4" w:rsidP="00514EA4">
      <w:pPr>
        <w:pStyle w:val="ListParagraph"/>
        <w:numPr>
          <w:ilvl w:val="0"/>
          <w:numId w:val="4"/>
        </w:numPr>
      </w:pPr>
      <w:r>
        <w:t xml:space="preserve">Line of </w:t>
      </w:r>
      <w:proofErr w:type="gramStart"/>
      <w:r>
        <w:t>Business ,</w:t>
      </w:r>
      <w:proofErr w:type="gramEnd"/>
      <w:r>
        <w:t xml:space="preserve"> followed by</w:t>
      </w:r>
    </w:p>
    <w:p w:rsidR="00514EA4" w:rsidRDefault="00514EA4" w:rsidP="00514EA4">
      <w:pPr>
        <w:pStyle w:val="ListParagraph"/>
        <w:numPr>
          <w:ilvl w:val="0"/>
          <w:numId w:val="4"/>
        </w:numPr>
      </w:pPr>
      <w:r>
        <w:t>Product Line, and finally</w:t>
      </w:r>
    </w:p>
    <w:p w:rsidR="00514EA4" w:rsidRDefault="00514EA4" w:rsidP="00514EA4">
      <w:pPr>
        <w:pStyle w:val="ListParagraph"/>
        <w:numPr>
          <w:ilvl w:val="0"/>
          <w:numId w:val="4"/>
        </w:numPr>
      </w:pPr>
      <w:r>
        <w:t>Product Name</w:t>
      </w:r>
    </w:p>
    <w:p w:rsidR="005C18F1" w:rsidRDefault="005C18F1" w:rsidP="00514EA4"/>
    <w:p w:rsidR="00514EA4" w:rsidRDefault="005A0C60" w:rsidP="00514EA4">
      <w:proofErr w:type="gramStart"/>
      <w:r>
        <w:t>So</w:t>
      </w:r>
      <w:proofErr w:type="gramEnd"/>
      <w:r>
        <w:t xml:space="preserve"> in tableau, a hierarchical grouping was created</w:t>
      </w:r>
    </w:p>
    <w:p w:rsidR="005C18F1" w:rsidRDefault="00AB2B6F" w:rsidP="007724DB">
      <w:r>
        <w:rPr>
          <w:noProof/>
          <w:lang w:eastAsia="en-SG"/>
        </w:rPr>
        <w:drawing>
          <wp:inline distT="0" distB="0" distL="0" distR="0">
            <wp:extent cx="1145516" cy="47859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1154495" cy="482343"/>
                    </a:xfrm>
                    <a:prstGeom prst="rect">
                      <a:avLst/>
                    </a:prstGeom>
                    <a:noFill/>
                    <a:ln w="9525">
                      <a:noFill/>
                      <a:miter lim="800000"/>
                      <a:headEnd/>
                      <a:tailEnd/>
                    </a:ln>
                  </pic:spPr>
                </pic:pic>
              </a:graphicData>
            </a:graphic>
          </wp:inline>
        </w:drawing>
      </w:r>
    </w:p>
    <w:p w:rsidR="005C18F1" w:rsidRDefault="00531927" w:rsidP="007724DB">
      <w:r>
        <w:t xml:space="preserve">Where the firm has 12 unique lines of businesses </w:t>
      </w:r>
      <w:proofErr w:type="gramStart"/>
      <w:r>
        <w:t>( LOB</w:t>
      </w:r>
      <w:proofErr w:type="gramEnd"/>
      <w:r>
        <w:t>), and product lines</w:t>
      </w:r>
      <w:r w:rsidR="00607A54">
        <w:t xml:space="preserve"> ( hundreds)</w:t>
      </w:r>
      <w:r>
        <w:t xml:space="preserve"> spanning from each line of businesses</w:t>
      </w:r>
      <w:r w:rsidR="00607A54">
        <w:t xml:space="preserve">, and finally  individual components sold were described in ‘Prod hierarchy </w:t>
      </w:r>
      <w:proofErr w:type="spellStart"/>
      <w:r w:rsidR="00607A54">
        <w:t>Desc</w:t>
      </w:r>
      <w:proofErr w:type="spellEnd"/>
      <w:r w:rsidR="00607A54">
        <w:t>’</w:t>
      </w:r>
    </w:p>
    <w:p w:rsidR="005C18F1" w:rsidRDefault="005C18F1" w:rsidP="007724DB"/>
    <w:p w:rsidR="005C18F1" w:rsidRDefault="005C18F1" w:rsidP="007724DB"/>
    <w:p w:rsidR="007724DB" w:rsidRDefault="005C18F1" w:rsidP="007724DB">
      <w:r w:rsidRPr="005C18F1">
        <w:t>But this</w:t>
      </w:r>
      <w:r>
        <w:t xml:space="preserve"> was parent child relation was not able to be sorted directly from the dashboard, so a parameter was created for product line and product</w:t>
      </w:r>
      <w:r w:rsidR="00C62558">
        <w:t>, like below, with two values</w:t>
      </w:r>
    </w:p>
    <w:p w:rsidR="005C18F1" w:rsidRDefault="005C18F1" w:rsidP="007724DB">
      <w:r>
        <w:rPr>
          <w:noProof/>
          <w:lang w:eastAsia="en-SG"/>
        </w:rPr>
        <w:drawing>
          <wp:inline distT="0" distB="0" distL="0" distR="0">
            <wp:extent cx="2353214" cy="1709120"/>
            <wp:effectExtent l="19050" t="0" r="8986"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2357460" cy="1712204"/>
                    </a:xfrm>
                    <a:prstGeom prst="rect">
                      <a:avLst/>
                    </a:prstGeom>
                    <a:noFill/>
                    <a:ln w="9525">
                      <a:noFill/>
                      <a:miter lim="800000"/>
                      <a:headEnd/>
                      <a:tailEnd/>
                    </a:ln>
                  </pic:spPr>
                </pic:pic>
              </a:graphicData>
            </a:graphic>
          </wp:inline>
        </w:drawing>
      </w:r>
      <w:r w:rsidR="00337F94">
        <w:rPr>
          <w:noProof/>
          <w:lang w:eastAsia="en-SG"/>
        </w:rPr>
        <w:drawing>
          <wp:inline distT="0" distB="0" distL="0" distR="0">
            <wp:extent cx="2085975" cy="862928"/>
            <wp:effectExtent l="19050" t="0" r="9525"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2085975" cy="862928"/>
                    </a:xfrm>
                    <a:prstGeom prst="rect">
                      <a:avLst/>
                    </a:prstGeom>
                    <a:noFill/>
                    <a:ln w="9525">
                      <a:noFill/>
                      <a:miter lim="800000"/>
                      <a:headEnd/>
                      <a:tailEnd/>
                    </a:ln>
                  </pic:spPr>
                </pic:pic>
              </a:graphicData>
            </a:graphic>
          </wp:inline>
        </w:drawing>
      </w:r>
    </w:p>
    <w:p w:rsidR="00337F94" w:rsidRDefault="00337F94" w:rsidP="007724DB">
      <w:r>
        <w:t>With the parameter to configure, a switch was added</w:t>
      </w:r>
      <w:r w:rsidR="00047841">
        <w:t>, with a case statement so that the managers can filter on the various product lines to find profitable or non-profitable lines at a glance</w:t>
      </w:r>
    </w:p>
    <w:p w:rsidR="00863E90" w:rsidRPr="00C30540" w:rsidRDefault="00C30540" w:rsidP="007724DB">
      <w:pPr>
        <w:rPr>
          <w:u w:val="single"/>
        </w:rPr>
      </w:pPr>
      <w:r w:rsidRPr="00C30540">
        <w:rPr>
          <w:u w:val="single"/>
        </w:rPr>
        <w:t>Product Box Plot when both switches are of</w:t>
      </w:r>
      <w:r w:rsidR="005A6741">
        <w:rPr>
          <w:u w:val="single"/>
        </w:rPr>
        <w:t>f</w:t>
      </w:r>
      <w:r>
        <w:rPr>
          <w:noProof/>
          <w:lang w:eastAsia="en-SG"/>
        </w:rPr>
        <w:drawing>
          <wp:inline distT="0" distB="0" distL="0" distR="0">
            <wp:extent cx="3918329" cy="1912518"/>
            <wp:effectExtent l="19050" t="0" r="5971"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3924783" cy="1915668"/>
                    </a:xfrm>
                    <a:prstGeom prst="rect">
                      <a:avLst/>
                    </a:prstGeom>
                    <a:noFill/>
                    <a:ln w="9525">
                      <a:noFill/>
                      <a:miter lim="800000"/>
                      <a:headEnd/>
                      <a:tailEnd/>
                    </a:ln>
                  </pic:spPr>
                </pic:pic>
              </a:graphicData>
            </a:graphic>
          </wp:inline>
        </w:drawing>
      </w:r>
      <w:r w:rsidRPr="00C30540">
        <w:rPr>
          <w:u w:val="single"/>
        </w:rPr>
        <w:t>f</w:t>
      </w:r>
    </w:p>
    <w:p w:rsidR="00337F94" w:rsidRPr="00C30540" w:rsidRDefault="00C30540" w:rsidP="007724DB">
      <w:pPr>
        <w:rPr>
          <w:u w:val="single"/>
        </w:rPr>
      </w:pPr>
      <w:r w:rsidRPr="00C30540">
        <w:rPr>
          <w:u w:val="single"/>
        </w:rPr>
        <w:t>Product Box Plot when switches are on</w:t>
      </w:r>
      <w:r>
        <w:rPr>
          <w:noProof/>
          <w:lang w:eastAsia="en-SG"/>
        </w:rPr>
        <w:drawing>
          <wp:inline distT="0" distB="0" distL="0" distR="0">
            <wp:extent cx="4000216" cy="1897345"/>
            <wp:effectExtent l="19050" t="0" r="28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4001717" cy="1898057"/>
                    </a:xfrm>
                    <a:prstGeom prst="rect">
                      <a:avLst/>
                    </a:prstGeom>
                    <a:noFill/>
                    <a:ln w="9525">
                      <a:noFill/>
                      <a:miter lim="800000"/>
                      <a:headEnd/>
                      <a:tailEnd/>
                    </a:ln>
                  </pic:spPr>
                </pic:pic>
              </a:graphicData>
            </a:graphic>
          </wp:inline>
        </w:drawing>
      </w:r>
    </w:p>
    <w:p w:rsidR="007724DB" w:rsidRDefault="0095225F">
      <w:r>
        <w:t xml:space="preserve">Above, is an example of a study by the manager, for example in China, the line of business of ‘Systems’ was a large contributor to product orders, so the manager can drill down, each blue dot is an individual order, and where the orange rectangle is above 1, ( as the y-axis is log scaled) indicates a profitable product line as the median and inter quartile range are positive, whereas for a product like </w:t>
      </w:r>
      <w:proofErr w:type="spellStart"/>
      <w:r>
        <w:t>TripleCon</w:t>
      </w:r>
      <w:proofErr w:type="spellEnd"/>
      <w:r>
        <w:t>,</w:t>
      </w:r>
      <w:r w:rsidR="004F7986">
        <w:t xml:space="preserve"> the inter quartile range is less than one, and as  negative values become decimals when log is applied</w:t>
      </w:r>
      <w:r w:rsidR="0080270B">
        <w:t xml:space="preserve">, indicates that there are </w:t>
      </w:r>
      <w:r w:rsidR="0080270B">
        <w:lastRenderedPageBreak/>
        <w:t>quite a number of cancellations for this product, and could deep dive or reach out to clients to find</w:t>
      </w:r>
      <w:r w:rsidR="00D73AD2">
        <w:t xml:space="preserve"> out the reasons behind this observation</w:t>
      </w:r>
      <w:r w:rsidR="009F0F15">
        <w:t xml:space="preserve">. </w:t>
      </w:r>
      <w:proofErr w:type="gramStart"/>
      <w:r w:rsidR="009F0F15">
        <w:t>Also</w:t>
      </w:r>
      <w:proofErr w:type="gramEnd"/>
      <w:r w:rsidR="009F0F15">
        <w:t xml:space="preserve"> the line between the light and dark orange is where the median value is, the lines above the quartile range indicates 1.5 times the inter quartile range</w:t>
      </w:r>
    </w:p>
    <w:p w:rsidR="002D7AE5" w:rsidRDefault="002D7AE5">
      <w:r>
        <w:rPr>
          <w:noProof/>
          <w:lang w:eastAsia="en-SG"/>
        </w:rPr>
        <w:drawing>
          <wp:inline distT="0" distB="0" distL="0" distR="0">
            <wp:extent cx="6188710" cy="2336478"/>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6188710" cy="2336478"/>
                    </a:xfrm>
                    <a:prstGeom prst="rect">
                      <a:avLst/>
                    </a:prstGeom>
                    <a:noFill/>
                    <a:ln w="9525">
                      <a:noFill/>
                      <a:miter lim="800000"/>
                      <a:headEnd/>
                      <a:tailEnd/>
                    </a:ln>
                  </pic:spPr>
                </pic:pic>
              </a:graphicData>
            </a:graphic>
          </wp:inline>
        </w:drawing>
      </w:r>
    </w:p>
    <w:p w:rsidR="00F15FDA" w:rsidRDefault="002D7AE5">
      <w:r>
        <w:t>The same filters also work on product by orders per year, to find profitable lines</w:t>
      </w:r>
    </w:p>
    <w:p w:rsidR="00F15FDA" w:rsidRPr="007A5836" w:rsidRDefault="00F15FDA" w:rsidP="00F15FDA">
      <w:pPr>
        <w:pStyle w:val="ListParagraph"/>
        <w:numPr>
          <w:ilvl w:val="0"/>
          <w:numId w:val="1"/>
        </w:numPr>
        <w:rPr>
          <w:b/>
          <w:color w:val="0070C0"/>
          <w:u w:val="single"/>
        </w:rPr>
      </w:pPr>
      <w:r w:rsidRPr="007A5836">
        <w:rPr>
          <w:b/>
          <w:color w:val="0070C0"/>
          <w:u w:val="single"/>
        </w:rPr>
        <w:t>Limitations of data</w:t>
      </w:r>
    </w:p>
    <w:p w:rsidR="00F15FDA" w:rsidRDefault="00F15FDA" w:rsidP="005A0D6A">
      <w:pPr>
        <w:pStyle w:val="ListParagraph"/>
        <w:numPr>
          <w:ilvl w:val="0"/>
          <w:numId w:val="6"/>
        </w:numPr>
      </w:pPr>
      <w:r>
        <w:t>As the current process for cancellation involves creating a record with negative values with the same product as the sold record’s product, it is hard to tell if the record is an actual cancellation or is due to a human error, as the two values are  very hard to be reconciled</w:t>
      </w:r>
      <w:r w:rsidR="002657D0">
        <w:t>, so setting threshold benchmarks in the future could be problematic, and as we are unable to tell the implication of this process, the impact is hard to estimate, and could possible lead to false trend analysis</w:t>
      </w:r>
      <w:r w:rsidR="00E21CCA">
        <w:tab/>
      </w:r>
    </w:p>
    <w:p w:rsidR="00E21CCA" w:rsidRDefault="00E21CCA" w:rsidP="00E21CCA">
      <w:pPr>
        <w:pStyle w:val="ListParagraph"/>
        <w:numPr>
          <w:ilvl w:val="0"/>
          <w:numId w:val="9"/>
        </w:numPr>
      </w:pPr>
      <w:r>
        <w:t>T0 solve this problem, we propose creating another column with a binary flag to indicate if the record was cancelled instead of the current system of negative values</w:t>
      </w:r>
    </w:p>
    <w:p w:rsidR="005A0D6A" w:rsidRDefault="005A0D6A" w:rsidP="005A0D6A">
      <w:pPr>
        <w:pStyle w:val="ListParagraph"/>
        <w:ind w:left="1080"/>
      </w:pPr>
    </w:p>
    <w:p w:rsidR="00D1369E" w:rsidRDefault="00D1369E" w:rsidP="005A0D6A">
      <w:pPr>
        <w:pStyle w:val="ListParagraph"/>
        <w:numPr>
          <w:ilvl w:val="0"/>
          <w:numId w:val="6"/>
        </w:numPr>
      </w:pPr>
      <w:r>
        <w:t xml:space="preserve">Also due to having limited data on the actual products and not having access to </w:t>
      </w:r>
      <w:proofErr w:type="gramStart"/>
      <w:r>
        <w:t>product  experts</w:t>
      </w:r>
      <w:proofErr w:type="gramEnd"/>
      <w:r>
        <w:t xml:space="preserve">, for example for </w:t>
      </w:r>
      <w:proofErr w:type="spellStart"/>
      <w:r>
        <w:t>thriplecon</w:t>
      </w:r>
      <w:proofErr w:type="spellEnd"/>
      <w:r>
        <w:t>, with negative Inter  Quartile Range</w:t>
      </w:r>
      <w:r w:rsidR="005A0D6A">
        <w:t xml:space="preserve">, it is hard to tell the exact reason why , and would require further studies </w:t>
      </w:r>
      <w:r w:rsidR="00E21CCA">
        <w:t xml:space="preserve"> which would incur </w:t>
      </w:r>
      <w:r w:rsidR="005A0D6A">
        <w:t xml:space="preserve"> </w:t>
      </w:r>
      <w:r w:rsidR="0096373E">
        <w:t>additional cost and labour hours</w:t>
      </w:r>
    </w:p>
    <w:p w:rsidR="0096373E" w:rsidRDefault="0096373E" w:rsidP="0096373E"/>
    <w:p w:rsidR="0096373E" w:rsidRPr="007A5836" w:rsidRDefault="0096373E" w:rsidP="0096373E">
      <w:pPr>
        <w:pStyle w:val="ListParagraph"/>
        <w:numPr>
          <w:ilvl w:val="0"/>
          <w:numId w:val="1"/>
        </w:numPr>
        <w:rPr>
          <w:b/>
          <w:color w:val="0070C0"/>
          <w:u w:val="single"/>
        </w:rPr>
      </w:pPr>
      <w:r w:rsidRPr="007A5836">
        <w:rPr>
          <w:b/>
          <w:color w:val="0070C0"/>
          <w:u w:val="single"/>
        </w:rPr>
        <w:t>Conclusion</w:t>
      </w:r>
    </w:p>
    <w:p w:rsidR="0096373E" w:rsidRDefault="0096373E" w:rsidP="0096373E">
      <w:pPr>
        <w:pStyle w:val="ListParagraph"/>
      </w:pPr>
    </w:p>
    <w:p w:rsidR="0096373E" w:rsidRDefault="0096373E" w:rsidP="0096373E">
      <w:pPr>
        <w:pStyle w:val="ListParagraph"/>
      </w:pPr>
      <w:r>
        <w:t xml:space="preserve">It appears that the </w:t>
      </w:r>
      <w:r w:rsidRPr="0096373E">
        <w:t xml:space="preserve">business trend is </w:t>
      </w:r>
      <w:r>
        <w:t xml:space="preserve">such that, for </w:t>
      </w:r>
      <w:r w:rsidRPr="0096373E">
        <w:t xml:space="preserve">June and December orders </w:t>
      </w:r>
      <w:r>
        <w:t>tend to peak, however for 2017, from the Executive view, it looks like a gradual decline, which would be a cause of concern, a red flag for the business across all the lines of business, as it would result in lower operating profits</w:t>
      </w:r>
    </w:p>
    <w:p w:rsidR="001444B0" w:rsidRDefault="001444B0" w:rsidP="0096373E">
      <w:pPr>
        <w:pStyle w:val="ListParagraph"/>
      </w:pPr>
    </w:p>
    <w:p w:rsidR="001444B0" w:rsidRDefault="001444B0" w:rsidP="0096373E">
      <w:pPr>
        <w:pStyle w:val="ListParagraph"/>
      </w:pPr>
      <w:r>
        <w:t>As it is hard to te</w:t>
      </w:r>
      <w:r w:rsidR="00ED701C">
        <w:t xml:space="preserve">ll if the order volumes have a data </w:t>
      </w:r>
      <w:r>
        <w:t>issue, the an</w:t>
      </w:r>
      <w:bookmarkStart w:id="0" w:name="_GoBack"/>
      <w:bookmarkEnd w:id="0"/>
      <w:r>
        <w:t>alysis from this report should be checked with business divisions for agreement before the relevant decisions are made, and should only be used as a guide, until the negative system is changed</w:t>
      </w:r>
    </w:p>
    <w:sectPr w:rsidR="001444B0" w:rsidSect="003653CA">
      <w:headerReference w:type="default" r:id="rId26"/>
      <w:footerReference w:type="default" r:id="rI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6C0" w:rsidRDefault="007D26C0" w:rsidP="003653CA">
      <w:pPr>
        <w:spacing w:after="0" w:line="240" w:lineRule="auto"/>
      </w:pPr>
      <w:r>
        <w:separator/>
      </w:r>
    </w:p>
  </w:endnote>
  <w:endnote w:type="continuationSeparator" w:id="0">
    <w:p w:rsidR="007D26C0" w:rsidRDefault="007D26C0" w:rsidP="003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33"/>
      <w:gridCol w:w="8929"/>
    </w:tblGrid>
    <w:tr w:rsidR="003653CA">
      <w:tc>
        <w:tcPr>
          <w:tcW w:w="918" w:type="dxa"/>
        </w:tcPr>
        <w:p w:rsidR="003653CA" w:rsidRDefault="007D26C0">
          <w:pPr>
            <w:pStyle w:val="Footer"/>
            <w:jc w:val="right"/>
            <w:rPr>
              <w:b/>
              <w:color w:val="7FD13B" w:themeColor="accent1"/>
              <w:sz w:val="32"/>
              <w:szCs w:val="32"/>
            </w:rPr>
          </w:pPr>
          <w:r>
            <w:rPr>
              <w:b/>
              <w:noProof/>
              <w:color w:val="7FD13B" w:themeColor="accent1"/>
              <w:sz w:val="32"/>
              <w:szCs w:val="32"/>
            </w:rPr>
            <w:fldChar w:fldCharType="begin"/>
          </w:r>
          <w:r>
            <w:rPr>
              <w:b/>
              <w:noProof/>
              <w:color w:val="7FD13B" w:themeColor="accent1"/>
              <w:sz w:val="32"/>
              <w:szCs w:val="32"/>
            </w:rPr>
            <w:instrText xml:space="preserve"> PAGE   \* MERGEFORMAT </w:instrText>
          </w:r>
          <w:r>
            <w:rPr>
              <w:b/>
              <w:noProof/>
              <w:color w:val="7FD13B" w:themeColor="accent1"/>
              <w:sz w:val="32"/>
              <w:szCs w:val="32"/>
            </w:rPr>
            <w:fldChar w:fldCharType="separate"/>
          </w:r>
          <w:r w:rsidR="001E688A" w:rsidRPr="001E688A">
            <w:rPr>
              <w:b/>
              <w:noProof/>
              <w:color w:val="7FD13B" w:themeColor="accent1"/>
              <w:sz w:val="32"/>
              <w:szCs w:val="32"/>
            </w:rPr>
            <w:t>6</w:t>
          </w:r>
          <w:r>
            <w:rPr>
              <w:b/>
              <w:noProof/>
              <w:color w:val="7FD13B" w:themeColor="accent1"/>
              <w:sz w:val="32"/>
              <w:szCs w:val="32"/>
            </w:rPr>
            <w:fldChar w:fldCharType="end"/>
          </w:r>
        </w:p>
      </w:tc>
      <w:tc>
        <w:tcPr>
          <w:tcW w:w="7938" w:type="dxa"/>
        </w:tcPr>
        <w:p w:rsidR="003653CA" w:rsidRDefault="003653CA">
          <w:pPr>
            <w:pStyle w:val="Footer"/>
          </w:pPr>
        </w:p>
      </w:tc>
    </w:tr>
  </w:tbl>
  <w:p w:rsidR="003653CA" w:rsidRDefault="00365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6C0" w:rsidRDefault="007D26C0" w:rsidP="003653CA">
      <w:pPr>
        <w:spacing w:after="0" w:line="240" w:lineRule="auto"/>
      </w:pPr>
      <w:r>
        <w:separator/>
      </w:r>
    </w:p>
  </w:footnote>
  <w:footnote w:type="continuationSeparator" w:id="0">
    <w:p w:rsidR="007D26C0" w:rsidRDefault="007D26C0" w:rsidP="00365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3"/>
      <w:gridCol w:w="1243"/>
    </w:tblGrid>
    <w:tr w:rsidR="003653CA">
      <w:trPr>
        <w:trHeight w:val="288"/>
      </w:trPr>
      <w:sdt>
        <w:sdtPr>
          <w:rPr>
            <w:rFonts w:ascii="Arial" w:hAnsi="Arial" w:cs="Arial"/>
            <w:color w:val="000000"/>
            <w:sz w:val="24"/>
            <w:szCs w:val="24"/>
          </w:rPr>
          <w:alias w:val="Title"/>
          <w:id w:val="77761602"/>
          <w:placeholder>
            <w:docPart w:val="E5D0398A67034801896FA87DDE4FC66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653CA" w:rsidRDefault="003653CA">
              <w:pPr>
                <w:pStyle w:val="Header"/>
                <w:jc w:val="right"/>
                <w:rPr>
                  <w:rFonts w:asciiTheme="majorHAnsi" w:eastAsiaTheme="majorEastAsia" w:hAnsiTheme="majorHAnsi" w:cstheme="majorBidi"/>
                  <w:sz w:val="36"/>
                  <w:szCs w:val="36"/>
                </w:rPr>
              </w:pPr>
              <w:r w:rsidRPr="003653CA">
                <w:rPr>
                  <w:rFonts w:ascii="Arial" w:hAnsi="Arial" w:cs="Arial"/>
                  <w:color w:val="000000"/>
                  <w:sz w:val="24"/>
                  <w:szCs w:val="24"/>
                </w:rPr>
                <w:t>Business Intelligence Project (CBA1C03)</w:t>
              </w:r>
            </w:p>
          </w:tc>
        </w:sdtContent>
      </w:sdt>
      <w:sdt>
        <w:sdtPr>
          <w:rPr>
            <w:rFonts w:asciiTheme="majorHAnsi" w:eastAsiaTheme="majorEastAsia" w:hAnsiTheme="majorHAnsi" w:cstheme="majorBidi"/>
            <w:b/>
            <w:bCs/>
            <w:color w:val="7FD13B" w:themeColor="accent1"/>
            <w:sz w:val="36"/>
            <w:szCs w:val="36"/>
          </w:rPr>
          <w:alias w:val="Year"/>
          <w:id w:val="77761609"/>
          <w:placeholder>
            <w:docPart w:val="86A5723113BA4D26AD642F385F602558"/>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3653CA" w:rsidRDefault="003653CA" w:rsidP="003653CA">
              <w:pPr>
                <w:pStyle w:val="Header"/>
                <w:rPr>
                  <w:rFonts w:asciiTheme="majorHAnsi" w:eastAsiaTheme="majorEastAsia" w:hAnsiTheme="majorHAnsi" w:cstheme="majorBidi"/>
                  <w:b/>
                  <w:bCs/>
                  <w:color w:val="7FD13B" w:themeColor="accent1"/>
                  <w:sz w:val="36"/>
                  <w:szCs w:val="36"/>
                </w:rPr>
              </w:pPr>
              <w:r>
                <w:rPr>
                  <w:rFonts w:asciiTheme="majorHAnsi" w:eastAsiaTheme="majorEastAsia" w:hAnsiTheme="majorHAnsi" w:cstheme="majorBidi"/>
                  <w:b/>
                  <w:bCs/>
                  <w:color w:val="7FD13B" w:themeColor="accent1"/>
                  <w:sz w:val="36"/>
                  <w:szCs w:val="36"/>
                </w:rPr>
                <w:t>2018</w:t>
              </w:r>
            </w:p>
          </w:tc>
        </w:sdtContent>
      </w:sdt>
    </w:tr>
  </w:tbl>
  <w:p w:rsidR="003653CA" w:rsidRDefault="00365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461"/>
    <w:multiLevelType w:val="hybridMultilevel"/>
    <w:tmpl w:val="8A50ACE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F46CB9"/>
    <w:multiLevelType w:val="hybridMultilevel"/>
    <w:tmpl w:val="D0D29248"/>
    <w:lvl w:ilvl="0" w:tplc="9F5E4246">
      <w:start w:val="2"/>
      <w:numFmt w:val="bullet"/>
      <w:lvlText w:val="-"/>
      <w:lvlJc w:val="left"/>
      <w:pPr>
        <w:ind w:left="1440" w:hanging="360"/>
      </w:pPr>
      <w:rPr>
        <w:rFonts w:ascii="Corbel" w:eastAsiaTheme="minorEastAsia" w:hAnsi="Corbel"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D797ECD"/>
    <w:multiLevelType w:val="hybridMultilevel"/>
    <w:tmpl w:val="E5AC9D76"/>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8176EFB"/>
    <w:multiLevelType w:val="hybridMultilevel"/>
    <w:tmpl w:val="39B8D9B2"/>
    <w:lvl w:ilvl="0" w:tplc="AC4C548E">
      <w:start w:val="2"/>
      <w:numFmt w:val="bullet"/>
      <w:lvlText w:val="-"/>
      <w:lvlJc w:val="left"/>
      <w:pPr>
        <w:ind w:left="1080" w:hanging="360"/>
      </w:pPr>
      <w:rPr>
        <w:rFonts w:ascii="Corbel" w:eastAsiaTheme="minorEastAsia" w:hAnsi="Corbe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5B417B7"/>
    <w:multiLevelType w:val="hybridMultilevel"/>
    <w:tmpl w:val="9928FB7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D2A5229"/>
    <w:multiLevelType w:val="hybridMultilevel"/>
    <w:tmpl w:val="2E1C3A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7127144"/>
    <w:multiLevelType w:val="hybridMultilevel"/>
    <w:tmpl w:val="542A27A8"/>
    <w:lvl w:ilvl="0" w:tplc="1B969CC2">
      <w:start w:val="2"/>
      <w:numFmt w:val="bullet"/>
      <w:lvlText w:val="-"/>
      <w:lvlJc w:val="left"/>
      <w:pPr>
        <w:ind w:left="1440" w:hanging="360"/>
      </w:pPr>
      <w:rPr>
        <w:rFonts w:ascii="Corbel" w:eastAsiaTheme="minorEastAsia" w:hAnsi="Corbel"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B6712EE"/>
    <w:multiLevelType w:val="hybridMultilevel"/>
    <w:tmpl w:val="2E1C3A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9A6A9B"/>
    <w:multiLevelType w:val="hybridMultilevel"/>
    <w:tmpl w:val="8C3412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6A6F"/>
    <w:rsid w:val="00034150"/>
    <w:rsid w:val="00047841"/>
    <w:rsid w:val="000C5112"/>
    <w:rsid w:val="000E5683"/>
    <w:rsid w:val="0014243F"/>
    <w:rsid w:val="001444B0"/>
    <w:rsid w:val="0015383C"/>
    <w:rsid w:val="001661FB"/>
    <w:rsid w:val="00171C64"/>
    <w:rsid w:val="001B65F8"/>
    <w:rsid w:val="001D0CB0"/>
    <w:rsid w:val="001E688A"/>
    <w:rsid w:val="001F1C65"/>
    <w:rsid w:val="00217834"/>
    <w:rsid w:val="00225E9C"/>
    <w:rsid w:val="002657D0"/>
    <w:rsid w:val="00281B0C"/>
    <w:rsid w:val="002D2396"/>
    <w:rsid w:val="002D4E44"/>
    <w:rsid w:val="002D7AE5"/>
    <w:rsid w:val="00322FE9"/>
    <w:rsid w:val="00337F94"/>
    <w:rsid w:val="00346A33"/>
    <w:rsid w:val="0035529A"/>
    <w:rsid w:val="003555E0"/>
    <w:rsid w:val="00364ED9"/>
    <w:rsid w:val="003653CA"/>
    <w:rsid w:val="00372EFC"/>
    <w:rsid w:val="00376FE4"/>
    <w:rsid w:val="00385BB4"/>
    <w:rsid w:val="00452B7B"/>
    <w:rsid w:val="004556F8"/>
    <w:rsid w:val="004A1560"/>
    <w:rsid w:val="004A4B67"/>
    <w:rsid w:val="004A4D57"/>
    <w:rsid w:val="004B1385"/>
    <w:rsid w:val="004B5A89"/>
    <w:rsid w:val="004C405F"/>
    <w:rsid w:val="004E0902"/>
    <w:rsid w:val="004E3D0E"/>
    <w:rsid w:val="004F7986"/>
    <w:rsid w:val="00513E72"/>
    <w:rsid w:val="00514EA4"/>
    <w:rsid w:val="00521E7B"/>
    <w:rsid w:val="00531927"/>
    <w:rsid w:val="00534DA3"/>
    <w:rsid w:val="00553608"/>
    <w:rsid w:val="0056726B"/>
    <w:rsid w:val="005A0C60"/>
    <w:rsid w:val="005A0D6A"/>
    <w:rsid w:val="005A6741"/>
    <w:rsid w:val="005A7F98"/>
    <w:rsid w:val="005C18F1"/>
    <w:rsid w:val="005D6A6F"/>
    <w:rsid w:val="00600265"/>
    <w:rsid w:val="00607A54"/>
    <w:rsid w:val="00653213"/>
    <w:rsid w:val="0065390E"/>
    <w:rsid w:val="006678A7"/>
    <w:rsid w:val="0069124A"/>
    <w:rsid w:val="00697C48"/>
    <w:rsid w:val="006B7227"/>
    <w:rsid w:val="00701EDB"/>
    <w:rsid w:val="00721BFB"/>
    <w:rsid w:val="00754109"/>
    <w:rsid w:val="0075579E"/>
    <w:rsid w:val="007620D6"/>
    <w:rsid w:val="00767FAE"/>
    <w:rsid w:val="007724DB"/>
    <w:rsid w:val="007976CE"/>
    <w:rsid w:val="007A02F6"/>
    <w:rsid w:val="007A5836"/>
    <w:rsid w:val="007B0D18"/>
    <w:rsid w:val="007B1177"/>
    <w:rsid w:val="007C5DB4"/>
    <w:rsid w:val="007D26C0"/>
    <w:rsid w:val="007D40DE"/>
    <w:rsid w:val="0080270B"/>
    <w:rsid w:val="00825D24"/>
    <w:rsid w:val="00835FE5"/>
    <w:rsid w:val="00850A4E"/>
    <w:rsid w:val="00863E90"/>
    <w:rsid w:val="008768D6"/>
    <w:rsid w:val="008A5E20"/>
    <w:rsid w:val="008B1AB3"/>
    <w:rsid w:val="009018EF"/>
    <w:rsid w:val="0090602E"/>
    <w:rsid w:val="00912885"/>
    <w:rsid w:val="0095225F"/>
    <w:rsid w:val="0096373E"/>
    <w:rsid w:val="0096628E"/>
    <w:rsid w:val="00981EEE"/>
    <w:rsid w:val="009E1DEB"/>
    <w:rsid w:val="009F0F15"/>
    <w:rsid w:val="009F5AAC"/>
    <w:rsid w:val="00A40429"/>
    <w:rsid w:val="00A5618C"/>
    <w:rsid w:val="00A61F56"/>
    <w:rsid w:val="00A6526E"/>
    <w:rsid w:val="00A92853"/>
    <w:rsid w:val="00A95FA6"/>
    <w:rsid w:val="00AB2B6F"/>
    <w:rsid w:val="00AB4F88"/>
    <w:rsid w:val="00AE68D4"/>
    <w:rsid w:val="00B21AAD"/>
    <w:rsid w:val="00B264FA"/>
    <w:rsid w:val="00B56211"/>
    <w:rsid w:val="00B62B59"/>
    <w:rsid w:val="00B94A75"/>
    <w:rsid w:val="00BB0D37"/>
    <w:rsid w:val="00C14268"/>
    <w:rsid w:val="00C247A2"/>
    <w:rsid w:val="00C30540"/>
    <w:rsid w:val="00C62558"/>
    <w:rsid w:val="00C83332"/>
    <w:rsid w:val="00CA156E"/>
    <w:rsid w:val="00CE094E"/>
    <w:rsid w:val="00CF0C5F"/>
    <w:rsid w:val="00D1369E"/>
    <w:rsid w:val="00D218CF"/>
    <w:rsid w:val="00D674F7"/>
    <w:rsid w:val="00D73AD2"/>
    <w:rsid w:val="00D861E0"/>
    <w:rsid w:val="00DA7A5C"/>
    <w:rsid w:val="00DB0A48"/>
    <w:rsid w:val="00DB46C6"/>
    <w:rsid w:val="00DC01FD"/>
    <w:rsid w:val="00DE42D2"/>
    <w:rsid w:val="00E02128"/>
    <w:rsid w:val="00E21CCA"/>
    <w:rsid w:val="00E2781C"/>
    <w:rsid w:val="00E367EC"/>
    <w:rsid w:val="00EA06C9"/>
    <w:rsid w:val="00EB4B9F"/>
    <w:rsid w:val="00ED701C"/>
    <w:rsid w:val="00F05C83"/>
    <w:rsid w:val="00F14B49"/>
    <w:rsid w:val="00F15FDA"/>
    <w:rsid w:val="00F206D8"/>
    <w:rsid w:val="00F37C30"/>
    <w:rsid w:val="00F4763E"/>
    <w:rsid w:val="00F53B6D"/>
    <w:rsid w:val="00F56FF5"/>
    <w:rsid w:val="00F63FD2"/>
    <w:rsid w:val="00F72704"/>
    <w:rsid w:val="00F92287"/>
    <w:rsid w:val="00FD1C74"/>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30"/>
      </o:rules>
    </o:shapelayout>
  </w:shapeDefaults>
  <w:decimalSymbol w:val="."/>
  <w:listSeparator w:val=","/>
  <w14:docId w14:val="79C793CF"/>
  <w15:docId w15:val="{C0B0C922-254E-4CC5-9C42-16509BBD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A6F"/>
  </w:style>
  <w:style w:type="paragraph" w:styleId="Heading1">
    <w:name w:val="heading 1"/>
    <w:basedOn w:val="Normal"/>
    <w:next w:val="Normal"/>
    <w:link w:val="Heading1Char"/>
    <w:uiPriority w:val="9"/>
    <w:qFormat/>
    <w:rsid w:val="005D6A6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D6A6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D6A6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D6A6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6A6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D6A6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D6A6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6A6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D6A6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A6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D6A6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D6A6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D6A6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6A6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D6A6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D6A6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6A6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D6A6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6A6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6A6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6A6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6A6F"/>
    <w:rPr>
      <w:rFonts w:asciiTheme="majorHAnsi" w:eastAsiaTheme="majorEastAsia" w:hAnsiTheme="majorHAnsi" w:cstheme="majorBidi"/>
      <w:i/>
      <w:iCs/>
      <w:spacing w:val="13"/>
      <w:sz w:val="24"/>
      <w:szCs w:val="24"/>
    </w:rPr>
  </w:style>
  <w:style w:type="character" w:styleId="Strong">
    <w:name w:val="Strong"/>
    <w:uiPriority w:val="22"/>
    <w:qFormat/>
    <w:rsid w:val="005D6A6F"/>
    <w:rPr>
      <w:b/>
      <w:bCs/>
    </w:rPr>
  </w:style>
  <w:style w:type="character" w:styleId="Emphasis">
    <w:name w:val="Emphasis"/>
    <w:uiPriority w:val="20"/>
    <w:qFormat/>
    <w:rsid w:val="005D6A6F"/>
    <w:rPr>
      <w:b/>
      <w:bCs/>
      <w:i/>
      <w:iCs/>
      <w:spacing w:val="10"/>
      <w:bdr w:val="none" w:sz="0" w:space="0" w:color="auto"/>
      <w:shd w:val="clear" w:color="auto" w:fill="auto"/>
    </w:rPr>
  </w:style>
  <w:style w:type="paragraph" w:styleId="NoSpacing">
    <w:name w:val="No Spacing"/>
    <w:basedOn w:val="Normal"/>
    <w:uiPriority w:val="1"/>
    <w:qFormat/>
    <w:rsid w:val="005D6A6F"/>
    <w:pPr>
      <w:spacing w:after="0" w:line="240" w:lineRule="auto"/>
    </w:pPr>
  </w:style>
  <w:style w:type="paragraph" w:styleId="ListParagraph">
    <w:name w:val="List Paragraph"/>
    <w:basedOn w:val="Normal"/>
    <w:uiPriority w:val="34"/>
    <w:qFormat/>
    <w:rsid w:val="005D6A6F"/>
    <w:pPr>
      <w:ind w:left="720"/>
      <w:contextualSpacing/>
    </w:pPr>
  </w:style>
  <w:style w:type="paragraph" w:styleId="Quote">
    <w:name w:val="Quote"/>
    <w:basedOn w:val="Normal"/>
    <w:next w:val="Normal"/>
    <w:link w:val="QuoteChar"/>
    <w:uiPriority w:val="29"/>
    <w:qFormat/>
    <w:rsid w:val="005D6A6F"/>
    <w:pPr>
      <w:spacing w:before="200" w:after="0"/>
      <w:ind w:left="360" w:right="360"/>
    </w:pPr>
    <w:rPr>
      <w:i/>
      <w:iCs/>
    </w:rPr>
  </w:style>
  <w:style w:type="character" w:customStyle="1" w:styleId="QuoteChar">
    <w:name w:val="Quote Char"/>
    <w:basedOn w:val="DefaultParagraphFont"/>
    <w:link w:val="Quote"/>
    <w:uiPriority w:val="29"/>
    <w:rsid w:val="005D6A6F"/>
    <w:rPr>
      <w:i/>
      <w:iCs/>
    </w:rPr>
  </w:style>
  <w:style w:type="paragraph" w:styleId="IntenseQuote">
    <w:name w:val="Intense Quote"/>
    <w:basedOn w:val="Normal"/>
    <w:next w:val="Normal"/>
    <w:link w:val="IntenseQuoteChar"/>
    <w:uiPriority w:val="30"/>
    <w:qFormat/>
    <w:rsid w:val="005D6A6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6A6F"/>
    <w:rPr>
      <w:b/>
      <w:bCs/>
      <w:i/>
      <w:iCs/>
    </w:rPr>
  </w:style>
  <w:style w:type="character" w:styleId="SubtleEmphasis">
    <w:name w:val="Subtle Emphasis"/>
    <w:uiPriority w:val="19"/>
    <w:qFormat/>
    <w:rsid w:val="005D6A6F"/>
    <w:rPr>
      <w:i/>
      <w:iCs/>
    </w:rPr>
  </w:style>
  <w:style w:type="character" w:styleId="IntenseEmphasis">
    <w:name w:val="Intense Emphasis"/>
    <w:uiPriority w:val="21"/>
    <w:qFormat/>
    <w:rsid w:val="005D6A6F"/>
    <w:rPr>
      <w:b/>
      <w:bCs/>
    </w:rPr>
  </w:style>
  <w:style w:type="character" w:styleId="SubtleReference">
    <w:name w:val="Subtle Reference"/>
    <w:uiPriority w:val="31"/>
    <w:qFormat/>
    <w:rsid w:val="005D6A6F"/>
    <w:rPr>
      <w:smallCaps/>
    </w:rPr>
  </w:style>
  <w:style w:type="character" w:styleId="IntenseReference">
    <w:name w:val="Intense Reference"/>
    <w:uiPriority w:val="32"/>
    <w:qFormat/>
    <w:rsid w:val="005D6A6F"/>
    <w:rPr>
      <w:smallCaps/>
      <w:spacing w:val="5"/>
      <w:u w:val="single"/>
    </w:rPr>
  </w:style>
  <w:style w:type="character" w:styleId="BookTitle">
    <w:name w:val="Book Title"/>
    <w:uiPriority w:val="33"/>
    <w:qFormat/>
    <w:rsid w:val="005D6A6F"/>
    <w:rPr>
      <w:i/>
      <w:iCs/>
      <w:smallCaps/>
      <w:spacing w:val="5"/>
    </w:rPr>
  </w:style>
  <w:style w:type="paragraph" w:styleId="TOCHeading">
    <w:name w:val="TOC Heading"/>
    <w:basedOn w:val="Heading1"/>
    <w:next w:val="Normal"/>
    <w:uiPriority w:val="39"/>
    <w:semiHidden/>
    <w:unhideWhenUsed/>
    <w:qFormat/>
    <w:rsid w:val="005D6A6F"/>
    <w:pPr>
      <w:outlineLvl w:val="9"/>
    </w:pPr>
    <w:rPr>
      <w:lang w:bidi="en-US"/>
    </w:rPr>
  </w:style>
  <w:style w:type="paragraph" w:styleId="BalloonText">
    <w:name w:val="Balloon Text"/>
    <w:basedOn w:val="Normal"/>
    <w:link w:val="BalloonTextChar"/>
    <w:uiPriority w:val="99"/>
    <w:semiHidden/>
    <w:unhideWhenUsed/>
    <w:rsid w:val="00721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BFB"/>
    <w:rPr>
      <w:rFonts w:ascii="Tahoma" w:hAnsi="Tahoma" w:cs="Tahoma"/>
      <w:sz w:val="16"/>
      <w:szCs w:val="16"/>
    </w:rPr>
  </w:style>
  <w:style w:type="paragraph" w:styleId="FootnoteText">
    <w:name w:val="footnote text"/>
    <w:basedOn w:val="Normal"/>
    <w:link w:val="FootnoteTextChar"/>
    <w:uiPriority w:val="99"/>
    <w:semiHidden/>
    <w:unhideWhenUsed/>
    <w:rsid w:val="003653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3CA"/>
    <w:rPr>
      <w:sz w:val="20"/>
      <w:szCs w:val="20"/>
    </w:rPr>
  </w:style>
  <w:style w:type="character" w:styleId="FootnoteReference">
    <w:name w:val="footnote reference"/>
    <w:basedOn w:val="DefaultParagraphFont"/>
    <w:uiPriority w:val="99"/>
    <w:semiHidden/>
    <w:unhideWhenUsed/>
    <w:rsid w:val="003653CA"/>
    <w:rPr>
      <w:vertAlign w:val="superscript"/>
    </w:rPr>
  </w:style>
  <w:style w:type="paragraph" w:styleId="Header">
    <w:name w:val="header"/>
    <w:basedOn w:val="Normal"/>
    <w:link w:val="HeaderChar"/>
    <w:uiPriority w:val="99"/>
    <w:unhideWhenUsed/>
    <w:rsid w:val="00365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3CA"/>
  </w:style>
  <w:style w:type="paragraph" w:styleId="Footer">
    <w:name w:val="footer"/>
    <w:basedOn w:val="Normal"/>
    <w:link w:val="FooterChar"/>
    <w:uiPriority w:val="99"/>
    <w:unhideWhenUsed/>
    <w:rsid w:val="00365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0398A67034801896FA87DDE4FC660"/>
        <w:category>
          <w:name w:val="General"/>
          <w:gallery w:val="placeholder"/>
        </w:category>
        <w:types>
          <w:type w:val="bbPlcHdr"/>
        </w:types>
        <w:behaviors>
          <w:behavior w:val="content"/>
        </w:behaviors>
        <w:guid w:val="{CFDB290E-641A-4445-A666-B05D464DD17B}"/>
      </w:docPartPr>
      <w:docPartBody>
        <w:p w:rsidR="00ED129B" w:rsidRDefault="00114F3D" w:rsidP="00114F3D">
          <w:pPr>
            <w:pStyle w:val="E5D0398A67034801896FA87DDE4FC660"/>
          </w:pPr>
          <w:r>
            <w:rPr>
              <w:rFonts w:asciiTheme="majorHAnsi" w:eastAsiaTheme="majorEastAsia" w:hAnsiTheme="majorHAnsi" w:cstheme="majorBidi"/>
              <w:sz w:val="36"/>
              <w:szCs w:val="36"/>
            </w:rPr>
            <w:t>[Type the document title]</w:t>
          </w:r>
        </w:p>
      </w:docPartBody>
    </w:docPart>
    <w:docPart>
      <w:docPartPr>
        <w:name w:val="86A5723113BA4D26AD642F385F602558"/>
        <w:category>
          <w:name w:val="General"/>
          <w:gallery w:val="placeholder"/>
        </w:category>
        <w:types>
          <w:type w:val="bbPlcHdr"/>
        </w:types>
        <w:behaviors>
          <w:behavior w:val="content"/>
        </w:behaviors>
        <w:guid w:val="{D39CCCBE-BD2A-4E52-837A-993E288D91E2}"/>
      </w:docPartPr>
      <w:docPartBody>
        <w:p w:rsidR="00ED129B" w:rsidRDefault="00114F3D" w:rsidP="00114F3D">
          <w:pPr>
            <w:pStyle w:val="86A5723113BA4D26AD642F385F602558"/>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4F3D"/>
    <w:rsid w:val="00114F3D"/>
    <w:rsid w:val="00336368"/>
    <w:rsid w:val="003D7F3A"/>
    <w:rsid w:val="006D62D2"/>
    <w:rsid w:val="00B478A7"/>
    <w:rsid w:val="00EC1822"/>
    <w:rsid w:val="00ED12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0398A67034801896FA87DDE4FC660">
    <w:name w:val="E5D0398A67034801896FA87DDE4FC660"/>
    <w:rsid w:val="00114F3D"/>
  </w:style>
  <w:style w:type="paragraph" w:customStyle="1" w:styleId="86A5723113BA4D26AD642F385F602558">
    <w:name w:val="86A5723113BA4D26AD642F385F602558"/>
    <w:rsid w:val="00114F3D"/>
  </w:style>
  <w:style w:type="paragraph" w:customStyle="1" w:styleId="57C55D19CDD94D27B387588AE3B9666A">
    <w:name w:val="57C55D19CDD94D27B387588AE3B9666A"/>
    <w:rsid w:val="00114F3D"/>
  </w:style>
  <w:style w:type="paragraph" w:customStyle="1" w:styleId="A90E2577580D4E5A89DA5565046D54B4">
    <w:name w:val="A90E2577580D4E5A89DA5565046D54B4"/>
    <w:rsid w:val="00B47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AC069-4E2E-4ECA-B04E-1A5E9D48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Business Intelligence Project (CBA1C03)</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 (CBA1C03)</dc:title>
  <dc:subject/>
  <dc:creator>Jasper190</dc:creator>
  <cp:keywords/>
  <dc:description/>
  <cp:lastModifiedBy>Jasper190</cp:lastModifiedBy>
  <cp:revision>4</cp:revision>
  <dcterms:created xsi:type="dcterms:W3CDTF">2019-02-20T15:09:00Z</dcterms:created>
  <dcterms:modified xsi:type="dcterms:W3CDTF">2019-02-20T15:09:00Z</dcterms:modified>
</cp:coreProperties>
</file>