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55555"/>
          <w:sz w:val="28"/>
          <w:szCs w:val="28"/>
        </w:rPr>
        <w:t xml:space="preserve">SecureNova Inc.</w:t>
      </w:r>
    </w:p>
    <w:p>
      <w:pPr>
        <w:spacing w:before="100"/>
        <w:jc w:val="center"/>
      </w:pPr>
      <w:r>
        <w:rPr>
          <w:b/>
          <w:bCs/>
          <w:sz w:val="44"/>
          <w:szCs w:val="44"/>
        </w:rPr>
        <w:t xml:space="preserve">AI Identity Security Policy</w:t>
      </w:r>
    </w:p>
    <w:p>
      <w:pPr>
        <w:spacing w:before="150"/>
        <w:jc w:val="center"/>
      </w:pPr>
      <w:r>
        <w:rPr>
          <w:color w:val="555555"/>
          <w:sz w:val="24"/>
          <w:szCs w:val="24"/>
        </w:rPr>
        <w:t xml:space="preserve">Governing the Provisioning, Credentialing, and Incident Response of AI Agent Identities</w:t>
      </w:r>
    </w:p>
    <w:p>
      <w:pPr>
        <w:spacing w:before="600"/>
        <w:jc w:val="center"/>
      </w:pPr>
      <w:r>
        <w:rPr>
          <w:sz w:val="22"/>
          <w:szCs w:val="22"/>
        </w:rPr>
        <w:t xml:space="preserve">Document Owner: AI Application Security Engineering (AASE)</w:t>
      </w:r>
    </w:p>
    <w:p>
      <w:pPr>
        <w:spacing w:before="80"/>
        <w:jc w:val="center"/>
      </w:pPr>
      <w:r>
        <w:rPr>
          <w:sz w:val="22"/>
          <w:szCs w:val="22"/>
        </w:rPr>
        <w:t xml:space="preserve">Version 1.0</w:t>
      </w:r>
    </w:p>
    <w:p>
      <w:pPr>
        <w:spacing w:before="80"/>
        <w:jc w:val="center"/>
      </w:pPr>
      <w:r>
        <w:rPr>
          <w:sz w:val="22"/>
          <w:szCs w:val="22"/>
        </w:rPr>
        <w:t xml:space="preserve">Effective Date: August 24, 2026</w:t>
      </w:r>
    </w:p>
    <w:p>
      <w:r>
        <w:br w:type="page"/>
      </w:r>
    </w:p>
    <w:p>
      <w:pPr>
        <w:pStyle w:val="Heading1"/>
        <w:spacing w:after="150" w:before="300"/>
      </w:pPr>
      <w:r>
        <w:t xml:space="preserve">Table of Contents</w:t>
      </w:r>
    </w:p>
    <w:p>
      <w:pPr>
        <w:spacing w:after="100"/>
        <w:ind w:left="0"/>
      </w:pPr>
      <w:r>
        <w:rPr>
          <w:b/>
          <w:bCs/>
          <w:color w:val="0F172A"/>
          <w:sz w:val="22"/>
          <w:szCs w:val="22"/>
        </w:rPr>
        <w:t xml:space="preserve">Purpose and Scope</w:t>
      </w:r>
    </w:p>
    <w:p>
      <w:pPr>
        <w:spacing w:after="100"/>
        <w:ind w:left="0"/>
      </w:pPr>
      <w:r>
        <w:rPr>
          <w:b/>
          <w:bCs/>
          <w:color w:val="0F172A"/>
          <w:sz w:val="22"/>
          <w:szCs w:val="22"/>
        </w:rPr>
        <w:t xml:space="preserve">Section 1: Identity Lifecycle</w:t>
      </w:r>
    </w:p>
    <w:p>
      <w:pPr>
        <w:spacing w:after="100"/>
        <w:ind w:left="360"/>
      </w:pPr>
      <w:r>
        <w:rPr>
          <w:b w:val="false"/>
          <w:bCs w:val="false"/>
          <w:color w:val="334155"/>
          <w:sz w:val="22"/>
          <w:szCs w:val="22"/>
        </w:rPr>
        <w:t xml:space="preserve">1.1 Provisioning</w:t>
      </w:r>
    </w:p>
    <w:p>
      <w:pPr>
        <w:spacing w:after="100"/>
        <w:ind w:left="360"/>
      </w:pPr>
      <w:r>
        <w:rPr>
          <w:b w:val="false"/>
          <w:bCs w:val="false"/>
          <w:color w:val="334155"/>
          <w:sz w:val="22"/>
          <w:szCs w:val="22"/>
        </w:rPr>
        <w:t xml:space="preserve">1.2 Review</w:t>
      </w:r>
    </w:p>
    <w:p>
      <w:pPr>
        <w:spacing w:after="100"/>
        <w:ind w:left="360"/>
      </w:pPr>
      <w:r>
        <w:rPr>
          <w:b w:val="false"/>
          <w:bCs w:val="false"/>
          <w:color w:val="334155"/>
          <w:sz w:val="22"/>
          <w:szCs w:val="22"/>
        </w:rPr>
        <w:t xml:space="preserve">1.3 Rotation</w:t>
      </w:r>
    </w:p>
    <w:p>
      <w:pPr>
        <w:spacing w:after="100"/>
        <w:ind w:left="360"/>
      </w:pPr>
      <w:r>
        <w:rPr>
          <w:b w:val="false"/>
          <w:bCs w:val="false"/>
          <w:color w:val="334155"/>
          <w:sz w:val="22"/>
          <w:szCs w:val="22"/>
        </w:rPr>
        <w:t xml:space="preserve">1.4 Decommissioning</w:t>
      </w:r>
    </w:p>
    <w:p>
      <w:pPr>
        <w:spacing w:after="100"/>
        <w:ind w:left="0"/>
      </w:pPr>
      <w:r>
        <w:rPr>
          <w:b/>
          <w:bCs/>
          <w:color w:val="0F172A"/>
          <w:sz w:val="22"/>
          <w:szCs w:val="22"/>
        </w:rPr>
        <w:t xml:space="preserve">Section 2: Credential Governance</w:t>
      </w:r>
    </w:p>
    <w:p>
      <w:pPr>
        <w:spacing w:after="100"/>
        <w:ind w:left="360"/>
      </w:pPr>
      <w:r>
        <w:rPr>
          <w:b w:val="false"/>
          <w:bCs w:val="false"/>
          <w:color w:val="334155"/>
          <w:sz w:val="22"/>
          <w:szCs w:val="22"/>
        </w:rPr>
        <w:t xml:space="preserve">2.1 API Key and Credential Rotation Schedule</w:t>
      </w:r>
    </w:p>
    <w:p>
      <w:pPr>
        <w:spacing w:after="100"/>
        <w:ind w:left="360"/>
      </w:pPr>
      <w:r>
        <w:rPr>
          <w:b w:val="false"/>
          <w:bCs w:val="false"/>
          <w:color w:val="334155"/>
          <w:sz w:val="22"/>
          <w:szCs w:val="22"/>
        </w:rPr>
        <w:t xml:space="preserve">2.2 Prohibition on Long-Lived Credentials</w:t>
      </w:r>
    </w:p>
    <w:p>
      <w:pPr>
        <w:spacing w:after="100"/>
        <w:ind w:left="360"/>
      </w:pPr>
      <w:r>
        <w:rPr>
          <w:b w:val="false"/>
          <w:bCs w:val="false"/>
          <w:color w:val="334155"/>
          <w:sz w:val="22"/>
          <w:szCs w:val="22"/>
        </w:rPr>
        <w:t xml:space="preserve">2.3 Secrets Management Standards</w:t>
      </w:r>
    </w:p>
    <w:p>
      <w:pPr>
        <w:spacing w:after="100"/>
        <w:ind w:left="0"/>
      </w:pPr>
      <w:r>
        <w:rPr>
          <w:b/>
          <w:bCs/>
          <w:color w:val="0F172A"/>
          <w:sz w:val="22"/>
          <w:szCs w:val="22"/>
        </w:rPr>
        <w:t xml:space="preserve">Section 3: Incident Response Playbook</w:t>
      </w:r>
    </w:p>
    <w:p>
      <w:pPr>
        <w:spacing w:after="100"/>
        <w:ind w:left="360"/>
      </w:pPr>
      <w:r>
        <w:rPr>
          <w:b w:val="false"/>
          <w:bCs w:val="false"/>
          <w:color w:val="334155"/>
          <w:sz w:val="22"/>
          <w:szCs w:val="22"/>
        </w:rPr>
        <w:t xml:space="preserve">Scenario A: Leaked LLM API Key</w:t>
      </w:r>
    </w:p>
    <w:p>
      <w:pPr>
        <w:spacing w:after="100"/>
        <w:ind w:left="360"/>
      </w:pPr>
      <w:r>
        <w:rPr>
          <w:b w:val="false"/>
          <w:bCs w:val="false"/>
          <w:color w:val="334155"/>
          <w:sz w:val="22"/>
          <w:szCs w:val="22"/>
        </w:rPr>
        <w:t xml:space="preserve">Scenario B: Compromised Agent Identity</w:t>
      </w:r>
    </w:p>
    <w:p>
      <w:pPr>
        <w:spacing w:after="100"/>
        <w:ind w:left="360"/>
      </w:pPr>
      <w:r>
        <w:rPr>
          <w:b w:val="false"/>
          <w:bCs w:val="false"/>
          <w:color w:val="334155"/>
          <w:sz w:val="22"/>
          <w:szCs w:val="22"/>
        </w:rPr>
        <w:t xml:space="preserve">Scenario C: Successful Prompt Injection Leading to Data Exfiltration</w:t>
      </w:r>
    </w:p>
    <w:p>
      <w:pPr>
        <w:spacing w:after="100"/>
        <w:ind w:left="0"/>
      </w:pPr>
      <w:r>
        <w:rPr>
          <w:b/>
          <w:bCs/>
          <w:color w:val="0F172A"/>
          <w:sz w:val="22"/>
          <w:szCs w:val="22"/>
        </w:rPr>
        <w:t xml:space="preserve">Policy Review and Ownership</w:t>
      </w:r>
    </w:p>
    <w:p>
      <w:r>
        <w:br w:type="page"/>
      </w:r>
    </w:p>
    <w:p>
      <w:pPr>
        <w:pStyle w:val="Heading1"/>
        <w:spacing w:after="150" w:before="300"/>
      </w:pPr>
      <w:r>
        <w:t xml:space="preserve">Purpose and Scope</w:t>
      </w:r>
    </w:p>
    <w:p>
      <w:pPr>
        <w:spacing w:after="120"/>
      </w:pPr>
      <w:r>
        <w:rPr>
          <w:sz w:val="22"/>
          <w:szCs w:val="22"/>
        </w:rPr>
        <w:t xml:space="preserve">This policy establishes mandatory requirements for how AI agent identities are provisioned, credentialed, monitored, and retired across SecureNova's AI systems, including the SecureNova AI customer support agent and any future multi-agent architectures. It applies to all engineering teams, contractors, and third-party integrators who build, deploy, or operate AI agents with access to SecureNova systems, data, or credentials.</w:t>
      </w:r>
    </w:p>
    <w:p>
      <w:pPr>
        <w:spacing w:after="120"/>
      </w:pPr>
      <w:r>
        <w:rPr>
          <w:sz w:val="22"/>
          <w:szCs w:val="22"/>
        </w:rPr>
        <w:t xml:space="preserve">This policy is informed by findings from SecureNova's internal red team assessment (Project 3) and the corresponding defensive controls implemented and validated in Project 4, which together demonstrated that undefended AI agent identities are vulnerable to indirect prompt injection, identity spoofing, system prompt extraction, and RAG/MCP poisoning, and that layered controls (input/output guardrails, cryptographic identity binding, hardened OAuth configuration, and anomaly detection) reduce measured attack success from 100% to 0% across all tested categories.</w:t>
      </w:r>
    </w:p>
    <w:p>
      <w:r>
        <w:br w:type="page"/>
      </w:r>
    </w:p>
    <w:p>
      <w:pPr>
        <w:pStyle w:val="Heading1"/>
        <w:spacing w:after="150" w:before="300"/>
      </w:pPr>
      <w:r>
        <w:t xml:space="preserve">Section 1: Identity Lifecycle</w:t>
      </w:r>
    </w:p>
    <w:p>
      <w:pPr>
        <w:spacing w:after="120"/>
      </w:pPr>
      <w:r>
        <w:rPr>
          <w:sz w:val="22"/>
          <w:szCs w:val="22"/>
        </w:rPr>
        <w:t xml:space="preserve">This section defines how AI agent identities move through provisioning, review, rotation, and decommissioning, with specific timelines for each phase.</w:t>
      </w:r>
    </w:p>
    <w:p>
      <w:pPr>
        <w:pStyle w:val="Heading2"/>
        <w:spacing w:after="100" w:before="220"/>
      </w:pPr>
      <w:r>
        <w:t xml:space="preserve">1.1 Provisioning</w:t>
      </w:r>
    </w:p>
    <w:p>
      <w:pPr>
        <w:pStyle w:val="ListParagraph"/>
        <w:numPr>
          <w:ilvl w:val="0"/>
          <w:numId w:val="2"/>
        </w:numPr>
        <w:spacing w:after="60"/>
      </w:pPr>
      <w:r>
        <w:rPr>
          <w:sz w:val="22"/>
          <w:szCs w:val="22"/>
        </w:rPr>
        <w:t xml:space="preserve">Every AI agent identity must be registered in the central identity provider (Auth0) before deployment, with a unique client ID and a documented owning team.</w:t>
      </w:r>
    </w:p>
    <w:p>
      <w:pPr>
        <w:pStyle w:val="ListParagraph"/>
        <w:numPr>
          <w:ilvl w:val="0"/>
          <w:numId w:val="2"/>
        </w:numPr>
        <w:spacing w:after="60"/>
      </w:pPr>
      <w:r>
        <w:rPr>
          <w:sz w:val="22"/>
          <w:szCs w:val="22"/>
        </w:rPr>
        <w:t xml:space="preserve">Agent identities must be provisioned with the minimum scope required for their function (least privilege), following the role/scope matrix defined in Project 2 (IAM Design).</w:t>
      </w:r>
    </w:p>
    <w:p>
      <w:pPr>
        <w:pStyle w:val="ListParagraph"/>
        <w:numPr>
          <w:ilvl w:val="0"/>
          <w:numId w:val="2"/>
        </w:numPr>
        <w:spacing w:after="60"/>
      </w:pPr>
      <w:r>
        <w:rPr>
          <w:sz w:val="22"/>
          <w:szCs w:val="22"/>
        </w:rPr>
        <w:t xml:space="preserve">New agent identities require sign-off from both the owning engineering team lead and the AASE security team prior to production deployment.</w:t>
      </w:r>
    </w:p>
    <w:p>
      <w:pPr>
        <w:pStyle w:val="ListParagraph"/>
        <w:numPr>
          <w:ilvl w:val="0"/>
          <w:numId w:val="2"/>
        </w:numPr>
        <w:spacing w:after="60"/>
      </w:pPr>
      <w:r>
        <w:rPr>
          <w:sz w:val="22"/>
          <w:szCs w:val="22"/>
        </w:rPr>
        <w:t xml:space="preserve">Provisioning must occur within a maximum of 5 business days of approval, and the identity must be documented in the agent identity inventory on the same day it is provisioned.</w:t>
      </w:r>
    </w:p>
    <w:p>
      <w:pPr>
        <w:pStyle w:val="Heading2"/>
        <w:spacing w:after="100" w:before="220"/>
      </w:pPr>
      <w:r>
        <w:t xml:space="preserve">1.2 Review</w:t>
      </w:r>
    </w:p>
    <w:p>
      <w:pPr>
        <w:pStyle w:val="ListParagraph"/>
        <w:numPr>
          <w:ilvl w:val="0"/>
          <w:numId w:val="2"/>
        </w:numPr>
        <w:spacing w:after="60"/>
      </w:pPr>
      <w:r>
        <w:rPr>
          <w:sz w:val="22"/>
          <w:szCs w:val="22"/>
        </w:rPr>
        <w:t xml:space="preserve">All active agent identities must undergo an access review no less than quarterly (every 90 days), verifying that granted scopes still match the agent's current function.</w:t>
      </w:r>
    </w:p>
    <w:p>
      <w:pPr>
        <w:pStyle w:val="ListParagraph"/>
        <w:numPr>
          <w:ilvl w:val="0"/>
          <w:numId w:val="2"/>
        </w:numPr>
        <w:spacing w:after="60"/>
      </w:pPr>
      <w:r>
        <w:rPr>
          <w:sz w:val="22"/>
          <w:szCs w:val="22"/>
        </w:rPr>
        <w:t xml:space="preserve">Any agent identity with no observed activity for 30 consecutive days must be flagged for review and, absent a documented justification, suspended within 7 days.</w:t>
      </w:r>
    </w:p>
    <w:p>
      <w:pPr>
        <w:pStyle w:val="ListParagraph"/>
        <w:numPr>
          <w:ilvl w:val="0"/>
          <w:numId w:val="2"/>
        </w:numPr>
        <w:spacing w:after="60"/>
      </w:pPr>
      <w:r>
        <w:rPr>
          <w:sz w:val="22"/>
          <w:szCs w:val="22"/>
        </w:rPr>
        <w:t xml:space="preserve">Review findings, including any scope reductions or reclassifications, must be logged with a timestamp, reviewer identity, and rationale.</w:t>
      </w:r>
    </w:p>
    <w:p>
      <w:pPr>
        <w:pStyle w:val="Heading2"/>
        <w:spacing w:after="100" w:before="220"/>
      </w:pPr>
      <w:r>
        <w:t xml:space="preserve">1.3 Rotation</w:t>
      </w:r>
    </w:p>
    <w:p>
      <w:pPr>
        <w:pStyle w:val="ListParagraph"/>
        <w:numPr>
          <w:ilvl w:val="0"/>
          <w:numId w:val="2"/>
        </w:numPr>
        <w:spacing w:after="60"/>
      </w:pPr>
      <w:r>
        <w:rPr>
          <w:sz w:val="22"/>
          <w:szCs w:val="22"/>
        </w:rPr>
        <w:t xml:space="preserve">Agent identity credentials (client secrets, signing keys such as the Ed25519 keys used for inter-agent message signing) must be rotated on a maximum 90-day schedule, consistent with the Credential Governance requirements in Section 2.</w:t>
      </w:r>
    </w:p>
    <w:p>
      <w:pPr>
        <w:pStyle w:val="ListParagraph"/>
        <w:numPr>
          <w:ilvl w:val="0"/>
          <w:numId w:val="2"/>
        </w:numPr>
        <w:spacing w:after="60"/>
      </w:pPr>
      <w:r>
        <w:rPr>
          <w:sz w:val="22"/>
          <w:szCs w:val="22"/>
        </w:rPr>
        <w:t xml:space="preserve">Rotation must be performed without service interruption using overlapping validity windows (old and new credentials both valid for a maximum 24-hour transition period).</w:t>
      </w:r>
    </w:p>
    <w:p>
      <w:pPr>
        <w:pStyle w:val="ListParagraph"/>
        <w:numPr>
          <w:ilvl w:val="0"/>
          <w:numId w:val="2"/>
        </w:numPr>
        <w:spacing w:after="60"/>
      </w:pPr>
      <w:r>
        <w:rPr>
          <w:sz w:val="22"/>
          <w:szCs w:val="22"/>
        </w:rPr>
        <w:t xml:space="preserve">Emergency rotation (outside the standard schedule) must be completed within 4 hours of a confirmed or suspected credential compromise.</w:t>
      </w:r>
    </w:p>
    <w:p>
      <w:pPr>
        <w:pStyle w:val="Heading2"/>
        <w:spacing w:after="100" w:before="220"/>
      </w:pPr>
      <w:r>
        <w:t xml:space="preserve">1.4 Decommissioning</w:t>
      </w:r>
    </w:p>
    <w:p>
      <w:pPr>
        <w:pStyle w:val="ListParagraph"/>
        <w:numPr>
          <w:ilvl w:val="0"/>
          <w:numId w:val="2"/>
        </w:numPr>
        <w:spacing w:after="60"/>
      </w:pPr>
      <w:r>
        <w:rPr>
          <w:sz w:val="22"/>
          <w:szCs w:val="22"/>
        </w:rPr>
        <w:t xml:space="preserve">When an agent identity is retired (feature deprecated, team disbanded, or replaced by a newer version), its credentials must be revoked within 24 hours of the decision to decommission.</w:t>
      </w:r>
    </w:p>
    <w:p>
      <w:pPr>
        <w:pStyle w:val="ListParagraph"/>
        <w:numPr>
          <w:ilvl w:val="0"/>
          <w:numId w:val="2"/>
        </w:numPr>
        <w:spacing w:after="60"/>
      </w:pPr>
      <w:r>
        <w:rPr>
          <w:sz w:val="22"/>
          <w:szCs w:val="22"/>
        </w:rPr>
        <w:t xml:space="preserve">Decommissioned identities must be removed from all active trust relationships (e.g., orchestrator trusted-caller lists, API authorizations) immediately upon revocation.</w:t>
      </w:r>
    </w:p>
    <w:p>
      <w:pPr>
        <w:pStyle w:val="ListParagraph"/>
        <w:numPr>
          <w:ilvl w:val="0"/>
          <w:numId w:val="2"/>
        </w:numPr>
        <w:spacing w:after="60"/>
      </w:pPr>
      <w:r>
        <w:rPr>
          <w:sz w:val="22"/>
          <w:szCs w:val="22"/>
        </w:rPr>
        <w:t xml:space="preserve">A decommissioning record (identity, reason, date, approver) must be retained for a minimum of 1 year for audit purposes.</w:t>
      </w:r>
    </w:p>
    <w:p>
      <w:r>
        <w:br w:type="page"/>
      </w:r>
    </w:p>
    <w:p>
      <w:pPr>
        <w:pStyle w:val="Heading1"/>
        <w:spacing w:after="150" w:before="300"/>
      </w:pPr>
      <w:r>
        <w:t xml:space="preserve">Section 2: Credential Governance</w:t>
      </w:r>
    </w:p>
    <w:p>
      <w:pPr>
        <w:spacing w:after="120"/>
      </w:pPr>
      <w:r>
        <w:rPr>
          <w:sz w:val="22"/>
          <w:szCs w:val="22"/>
        </w:rPr>
        <w:t xml:space="preserve">This section governs how credentials used by AI agents are issued, stored, and retired, addressing the root cause of the credential-disclosure findings in Project 3 (F-01, F-03).</w:t>
      </w:r>
    </w:p>
    <w:p>
      <w:pPr>
        <w:pStyle w:val="Heading2"/>
        <w:spacing w:after="100" w:before="220"/>
      </w:pPr>
      <w:r>
        <w:t xml:space="preserve">2.1 API Key and Credential Rotation Schedule</w:t>
      </w:r>
    </w:p>
    <w:p>
      <w:pPr>
        <w:pStyle w:val="ListParagraph"/>
        <w:numPr>
          <w:ilvl w:val="0"/>
          <w:numId w:val="2"/>
        </w:numPr>
        <w:spacing w:after="60"/>
      </w:pPr>
      <w:r>
        <w:rPr>
          <w:sz w:val="22"/>
          <w:szCs w:val="22"/>
        </w:rPr>
        <w:t xml:space="preserve">All API keys, client secrets, and signing keys used by AI agents must be rotated at a maximum interval of 90 days. This is a hard ceiling, not a target; teams may rotate more frequently based on risk classification.</w:t>
      </w:r>
    </w:p>
    <w:p>
      <w:pPr>
        <w:pStyle w:val="ListParagraph"/>
        <w:numPr>
          <w:ilvl w:val="0"/>
          <w:numId w:val="2"/>
        </w:numPr>
        <w:spacing w:after="60"/>
      </w:pPr>
      <w:r>
        <w:rPr>
          <w:sz w:val="22"/>
          <w:szCs w:val="22"/>
        </w:rPr>
        <w:t xml:space="preserve">Credentials for agents with access to privileged actions (fund transfers, data export, file deletion — the action classes demonstrated in Project 3.2 and 3.4/3.5) must be rotated at a maximum interval of 30 days.</w:t>
      </w:r>
    </w:p>
    <w:p>
      <w:pPr>
        <w:pStyle w:val="ListParagraph"/>
        <w:numPr>
          <w:ilvl w:val="0"/>
          <w:numId w:val="2"/>
        </w:numPr>
        <w:spacing w:after="60"/>
      </w:pPr>
      <w:r>
        <w:rPr>
          <w:sz w:val="22"/>
          <w:szCs w:val="22"/>
        </w:rPr>
        <w:t xml:space="preserve">Rotation events must be logged and must not require manual credential handling by engineers; rotation must be automated via the identity provider or a secrets manager.</w:t>
      </w:r>
    </w:p>
    <w:p>
      <w:pPr>
        <w:pStyle w:val="Heading2"/>
        <w:spacing w:after="100" w:before="220"/>
      </w:pPr>
      <w:r>
        <w:t xml:space="preserve">2.2 Prohibition on Long-Lived Credentials</w:t>
      </w:r>
    </w:p>
    <w:p>
      <w:pPr>
        <w:pStyle w:val="ListParagraph"/>
        <w:numPr>
          <w:ilvl w:val="0"/>
          <w:numId w:val="2"/>
        </w:numPr>
        <w:spacing w:after="60"/>
      </w:pPr>
      <w:r>
        <w:rPr>
          <w:sz w:val="22"/>
          <w:szCs w:val="22"/>
        </w:rPr>
        <w:t xml:space="preserve">Agent identity tokens (access tokens) must have a maximum lifetime of 300 seconds, matching the hardened Auth0 configuration validated in Project 4.3.</w:t>
      </w:r>
    </w:p>
    <w:p>
      <w:pPr>
        <w:pStyle w:val="ListParagraph"/>
        <w:numPr>
          <w:ilvl w:val="0"/>
          <w:numId w:val="2"/>
        </w:numPr>
        <w:spacing w:after="60"/>
      </w:pPr>
      <w:r>
        <w:rPr>
          <w:sz w:val="22"/>
          <w:szCs w:val="22"/>
        </w:rPr>
        <w:t xml:space="preserve">Refresh tokens must use rotation (single-use, automatically invalidated on exchange) as demonstrated and verified in Project 4, Screenshot 6. Non-rotating, long-lived refresh tokens are prohibited for any agent identity.</w:t>
      </w:r>
    </w:p>
    <w:p>
      <w:pPr>
        <w:pStyle w:val="ListParagraph"/>
        <w:numPr>
          <w:ilvl w:val="0"/>
          <w:numId w:val="2"/>
        </w:numPr>
        <w:spacing w:after="60"/>
      </w:pPr>
      <w:r>
        <w:rPr>
          <w:sz w:val="22"/>
          <w:szCs w:val="22"/>
        </w:rPr>
        <w:t xml:space="preserve">Hardcoded credentials in source code or configuration files committed to version control are strictly prohibited. All credentials must be loaded from environment variables or a secrets manager at runtime.</w:t>
      </w:r>
    </w:p>
    <w:p>
      <w:pPr>
        <w:pStyle w:val="Heading2"/>
        <w:spacing w:after="100" w:before="220"/>
      </w:pPr>
      <w:r>
        <w:t xml:space="preserve">2.3 Secrets Management Standards</w:t>
      </w:r>
    </w:p>
    <w:p>
      <w:pPr>
        <w:pStyle w:val="ListParagraph"/>
        <w:numPr>
          <w:ilvl w:val="0"/>
          <w:numId w:val="2"/>
        </w:numPr>
        <w:spacing w:after="60"/>
      </w:pPr>
      <w:r>
        <w:rPr>
          <w:sz w:val="22"/>
          <w:szCs w:val="22"/>
        </w:rPr>
        <w:t xml:space="preserve">Production secrets must be stored in a dedicated secrets manager (e.g., environment-variable injection at deploy time, or a managed secrets vault), never in plaintext configuration files or chat/document artifacts.</w:t>
      </w:r>
    </w:p>
    <w:p>
      <w:pPr>
        <w:pStyle w:val="ListParagraph"/>
        <w:numPr>
          <w:ilvl w:val="0"/>
          <w:numId w:val="2"/>
        </w:numPr>
        <w:spacing w:after="60"/>
      </w:pPr>
      <w:r>
        <w:rPr>
          <w:sz w:val="22"/>
          <w:szCs w:val="22"/>
        </w:rPr>
        <w:t xml:space="preserve">Any credential that is exposed in a non-production context (e.g., a terminal session, documentation, or chat log during development or testing) must be treated as compromised and rotated immediately, regardless of whether misuse is confirmed.</w:t>
      </w:r>
    </w:p>
    <w:p>
      <w:pPr>
        <w:pStyle w:val="ListParagraph"/>
        <w:numPr>
          <w:ilvl w:val="0"/>
          <w:numId w:val="2"/>
        </w:numPr>
        <w:spacing w:after="60"/>
      </w:pPr>
      <w:r>
        <w:rPr>
          <w:sz w:val="22"/>
          <w:szCs w:val="22"/>
        </w:rPr>
        <w:t xml:space="preserve">Signing keys used for cryptographic agent identity binding (Section 1.3; Project 4.2) must be generated using a vetted cryptographic library (this program uses Python's cryptography library, Ed25519) and must never be transmitted over an unencrypted channel.</w:t>
      </w:r>
    </w:p>
    <w:p>
      <w:r>
        <w:br w:type="page"/>
      </w:r>
    </w:p>
    <w:p>
      <w:pPr>
        <w:pStyle w:val="Heading1"/>
        <w:spacing w:after="150" w:before="300"/>
      </w:pPr>
      <w:r>
        <w:t xml:space="preserve">Section 3: Incident Response Playbook</w:t>
      </w:r>
    </w:p>
    <w:p>
      <w:pPr>
        <w:spacing w:after="120"/>
      </w:pPr>
      <w:r>
        <w:rPr>
          <w:sz w:val="22"/>
          <w:szCs w:val="22"/>
        </w:rPr>
        <w:t xml:space="preserve">This section defines response procedures for three scenarios directly informed by the Project 3 findings, each with detection signals, containment steps, evidence preservation, notification, and recovery.</w:t>
      </w:r>
    </w:p>
    <w:p>
      <w:pPr>
        <w:pStyle w:val="Heading3"/>
        <w:spacing w:after="80" w:before="160"/>
      </w:pPr>
      <w:r>
        <w:t xml:space="preserve">Scenario A: Leaked LLM API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c>
          <w:tcPr>
            <w:tcW w:type="dxa" w:w="1800"/>
            <w:shd w:fill="1E293B" w:color="auto" w:val="clear"/>
          </w:tcPr>
          <w:p>
            <w:r>
              <w:rPr>
                <w:b/>
                <w:bCs/>
                <w:color w:val="FFFFFF"/>
                <w:sz w:val="20"/>
                <w:szCs w:val="20"/>
              </w:rPr>
              <w:t xml:space="preserve">Field</w:t>
            </w:r>
          </w:p>
        </w:tc>
        <w:tc>
          <w:tcPr>
            <w:tcW w:type="dxa" w:w="7660"/>
            <w:shd w:fill="1E293B" w:color="auto" w:val="clear"/>
          </w:tcPr>
          <w:p>
            <w:r>
              <w:rPr>
                <w:b/>
                <w:bCs/>
                <w:color w:val="FFFFFF"/>
                <w:sz w:val="20"/>
                <w:szCs w:val="20"/>
              </w:rPr>
              <w:t xml:space="preserve">Detail</w:t>
            </w:r>
          </w:p>
        </w:tc>
      </w:tr>
      <w:tr>
        <w:tc>
          <w:tcPr>
            <w:tcW w:type="dxa" w:w="1800"/>
            <w:shd w:fill="F1F5F9" w:color="auto" w:val="clear"/>
          </w:tcPr>
          <w:p>
            <w:r>
              <w:rPr>
                <w:b/>
                <w:bCs/>
                <w:color w:val="0F172A"/>
                <w:sz w:val="20"/>
                <w:szCs w:val="20"/>
              </w:rPr>
              <w:t xml:space="preserve">Detection Signals</w:t>
            </w:r>
          </w:p>
        </w:tc>
        <w:tc>
          <w:tcPr>
            <w:tcW w:type="dxa" w:w="7660"/>
            <w:shd w:fill="FFFFFF" w:color="auto" w:val="clear"/>
          </w:tcPr>
          <w:p>
            <w:r>
              <w:rPr>
                <w:b w:val="false"/>
                <w:bCs w:val="false"/>
                <w:color w:val="0F172A"/>
                <w:sz w:val="20"/>
                <w:szCs w:val="20"/>
              </w:rPr>
              <w:t xml:space="preserve">Anomaly detection alert for unexpected API call volume from an unfamiliar source (Project 4.4 volume-spike detector); a key appearing in a public repository scan; billing/usage spike inconsistent with expected traffic.</w:t>
            </w:r>
          </w:p>
        </w:tc>
      </w:tr>
      <w:tr>
        <w:tc>
          <w:tcPr>
            <w:tcW w:type="dxa" w:w="1800"/>
            <w:shd w:fill="F1F5F9" w:color="auto" w:val="clear"/>
          </w:tcPr>
          <w:p>
            <w:r>
              <w:rPr>
                <w:b/>
                <w:bCs/>
                <w:color w:val="0F172A"/>
                <w:sz w:val="20"/>
                <w:szCs w:val="20"/>
              </w:rPr>
              <w:t xml:space="preserve">Containment</w:t>
            </w:r>
          </w:p>
        </w:tc>
        <w:tc>
          <w:tcPr>
            <w:tcW w:type="dxa" w:w="7660"/>
            <w:shd w:fill="FFFFFF" w:color="auto" w:val="clear"/>
          </w:tcPr>
          <w:p>
            <w:r>
              <w:rPr>
                <w:b w:val="false"/>
                <w:bCs w:val="false"/>
                <w:color w:val="0F172A"/>
                <w:sz w:val="20"/>
                <w:szCs w:val="20"/>
              </w:rPr>
              <w:t xml:space="preserve">Revoke the exposed key immediately via the provider dashboard (target: within 15 minutes of confirmed exposure). Issue a replacement key using the automated rotation process (Section 2.1). Block the exposed key at the API gateway if revocation is delayed.</w:t>
            </w:r>
          </w:p>
        </w:tc>
      </w:tr>
      <w:tr>
        <w:tc>
          <w:tcPr>
            <w:tcW w:type="dxa" w:w="1800"/>
            <w:shd w:fill="F1F5F9" w:color="auto" w:val="clear"/>
          </w:tcPr>
          <w:p>
            <w:r>
              <w:rPr>
                <w:b/>
                <w:bCs/>
                <w:color w:val="0F172A"/>
                <w:sz w:val="20"/>
                <w:szCs w:val="20"/>
              </w:rPr>
              <w:t xml:space="preserve">Evidence Preservation</w:t>
            </w:r>
          </w:p>
        </w:tc>
        <w:tc>
          <w:tcPr>
            <w:tcW w:type="dxa" w:w="7660"/>
            <w:shd w:fill="FFFFFF" w:color="auto" w:val="clear"/>
          </w:tcPr>
          <w:p>
            <w:r>
              <w:rPr>
                <w:b w:val="false"/>
                <w:bCs w:val="false"/>
                <w:color w:val="0F172A"/>
                <w:sz w:val="20"/>
                <w:szCs w:val="20"/>
              </w:rPr>
              <w:t xml:space="preserve">Capture the exposure context (repository commit hash, chat log, terminal history, or scan report) before remediation destroys the record. Preserve API usage logs covering the suspected exposure window.</w:t>
            </w:r>
          </w:p>
        </w:tc>
      </w:tr>
      <w:tr>
        <w:tc>
          <w:tcPr>
            <w:tcW w:type="dxa" w:w="1800"/>
            <w:shd w:fill="F1F5F9" w:color="auto" w:val="clear"/>
          </w:tcPr>
          <w:p>
            <w:r>
              <w:rPr>
                <w:b/>
                <w:bCs/>
                <w:color w:val="0F172A"/>
                <w:sz w:val="20"/>
                <w:szCs w:val="20"/>
              </w:rPr>
              <w:t xml:space="preserve">Notification</w:t>
            </w:r>
          </w:p>
        </w:tc>
        <w:tc>
          <w:tcPr>
            <w:tcW w:type="dxa" w:w="7660"/>
            <w:shd w:fill="FFFFFF" w:color="auto" w:val="clear"/>
          </w:tcPr>
          <w:p>
            <w:r>
              <w:rPr>
                <w:b w:val="false"/>
                <w:bCs w:val="false"/>
                <w:color w:val="0F172A"/>
                <w:sz w:val="20"/>
                <w:szCs w:val="20"/>
              </w:rPr>
              <w:t xml:space="preserve">Notify the AASE security team within 1 hour of detection. Notify the owning engineering team lead immediately. If customer data may have been accessed using the key, notify Legal/Compliance within 24 hours per SecureNova's data-incident policy.</w:t>
            </w:r>
          </w:p>
        </w:tc>
      </w:tr>
      <w:tr>
        <w:tc>
          <w:tcPr>
            <w:tcW w:type="dxa" w:w="1800"/>
            <w:shd w:fill="F1F5F9" w:color="auto" w:val="clear"/>
          </w:tcPr>
          <w:p>
            <w:r>
              <w:rPr>
                <w:b/>
                <w:bCs/>
                <w:color w:val="0F172A"/>
                <w:sz w:val="20"/>
                <w:szCs w:val="20"/>
              </w:rPr>
              <w:t xml:space="preserve">Recovery</w:t>
            </w:r>
          </w:p>
        </w:tc>
        <w:tc>
          <w:tcPr>
            <w:tcW w:type="dxa" w:w="7660"/>
            <w:shd w:fill="FFFFFF" w:color="auto" w:val="clear"/>
          </w:tcPr>
          <w:p>
            <w:r>
              <w:rPr>
                <w:b w:val="false"/>
                <w:bCs w:val="false"/>
                <w:color w:val="0F172A"/>
                <w:sz w:val="20"/>
                <w:szCs w:val="20"/>
              </w:rPr>
              <w:t xml:space="preserve">Confirm the new key is functioning in all dependent services. Conduct a post-incident review within 5 business days covering how the key was exposed and whether secrets-management controls (Section 2.3) require strengthening.</w:t>
            </w:r>
          </w:p>
        </w:tc>
      </w:tr>
    </w:tbl>
    <w:p>
      <w:pPr>
        <w:pStyle w:val="Heading3"/>
        <w:spacing w:after="80" w:before="160"/>
      </w:pPr>
      <w:r>
        <w:t xml:space="preserve">Scenario B: Compromised Agent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c>
          <w:tcPr>
            <w:tcW w:type="dxa" w:w="1800"/>
            <w:shd w:fill="1E293B" w:color="auto" w:val="clear"/>
          </w:tcPr>
          <w:p>
            <w:r>
              <w:rPr>
                <w:b/>
                <w:bCs/>
                <w:color w:val="FFFFFF"/>
                <w:sz w:val="20"/>
                <w:szCs w:val="20"/>
              </w:rPr>
              <w:t xml:space="preserve">Field</w:t>
            </w:r>
          </w:p>
        </w:tc>
        <w:tc>
          <w:tcPr>
            <w:tcW w:type="dxa" w:w="7660"/>
            <w:shd w:fill="1E293B" w:color="auto" w:val="clear"/>
          </w:tcPr>
          <w:p>
            <w:r>
              <w:rPr>
                <w:b/>
                <w:bCs/>
                <w:color w:val="FFFFFF"/>
                <w:sz w:val="20"/>
                <w:szCs w:val="20"/>
              </w:rPr>
              <w:t xml:space="preserve">Detail</w:t>
            </w:r>
          </w:p>
        </w:tc>
      </w:tr>
      <w:tr>
        <w:tc>
          <w:tcPr>
            <w:tcW w:type="dxa" w:w="1800"/>
            <w:shd w:fill="F1F5F9" w:color="auto" w:val="clear"/>
          </w:tcPr>
          <w:p>
            <w:r>
              <w:rPr>
                <w:b/>
                <w:bCs/>
                <w:color w:val="0F172A"/>
                <w:sz w:val="20"/>
                <w:szCs w:val="20"/>
              </w:rPr>
              <w:t xml:space="preserve">Detection Signals</w:t>
            </w:r>
          </w:p>
        </w:tc>
        <w:tc>
          <w:tcPr>
            <w:tcW w:type="dxa" w:w="7660"/>
            <w:shd w:fill="FFFFFF" w:color="auto" w:val="clear"/>
          </w:tcPr>
          <w:p>
            <w:r>
              <w:rPr>
                <w:b w:val="false"/>
                <w:bCs w:val="false"/>
                <w:color w:val="0F172A"/>
                <w:sz w:val="20"/>
                <w:szCs w:val="20"/>
              </w:rPr>
              <w:t xml:space="preserve">Anomaly detection alert for a scope change between consecutive requests from the same identity (Project 4.4); a privileged action (e.g., fund_transfer) executed via a channel other than the internal orchestrator; signature verification failure on an inter-agent message (Project 4.2, Screenshot 4).</w:t>
            </w:r>
          </w:p>
        </w:tc>
      </w:tr>
      <w:tr>
        <w:tc>
          <w:tcPr>
            <w:tcW w:type="dxa" w:w="1800"/>
            <w:shd w:fill="F1F5F9" w:color="auto" w:val="clear"/>
          </w:tcPr>
          <w:p>
            <w:r>
              <w:rPr>
                <w:b/>
                <w:bCs/>
                <w:color w:val="0F172A"/>
                <w:sz w:val="20"/>
                <w:szCs w:val="20"/>
              </w:rPr>
              <w:t xml:space="preserve">Containment</w:t>
            </w:r>
          </w:p>
        </w:tc>
        <w:tc>
          <w:tcPr>
            <w:tcW w:type="dxa" w:w="7660"/>
            <w:shd w:fill="FFFFFF" w:color="auto" w:val="clear"/>
          </w:tcPr>
          <w:p>
            <w:r>
              <w:rPr>
                <w:b w:val="false"/>
                <w:bCs w:val="false"/>
                <w:color w:val="0F172A"/>
                <w:sz w:val="20"/>
                <w:szCs w:val="20"/>
              </w:rPr>
              <w:t xml:space="preserve">Immediately suspend the affected agent identity's credentials and revoke its trust relationship with dependent systems (target: within 30 minutes of confirmed compromise). Roll back any privileged actions taken by the compromised identity where technically possible.</w:t>
            </w:r>
          </w:p>
        </w:tc>
      </w:tr>
      <w:tr>
        <w:tc>
          <w:tcPr>
            <w:tcW w:type="dxa" w:w="1800"/>
            <w:shd w:fill="F1F5F9" w:color="auto" w:val="clear"/>
          </w:tcPr>
          <w:p>
            <w:r>
              <w:rPr>
                <w:b/>
                <w:bCs/>
                <w:color w:val="0F172A"/>
                <w:sz w:val="20"/>
                <w:szCs w:val="20"/>
              </w:rPr>
              <w:t xml:space="preserve">Evidence Preservation</w:t>
            </w:r>
          </w:p>
        </w:tc>
        <w:tc>
          <w:tcPr>
            <w:tcW w:type="dxa" w:w="7660"/>
            <w:shd w:fill="FFFFFF" w:color="auto" w:val="clear"/>
          </w:tcPr>
          <w:p>
            <w:r>
              <w:rPr>
                <w:b w:val="false"/>
                <w:bCs w:val="false"/>
                <w:color w:val="0F172A"/>
                <w:sz w:val="20"/>
                <w:szCs w:val="20"/>
              </w:rPr>
              <w:t xml:space="preserve">Preserve full request/response logs for the affected identity for the prior 30 days. Preserve the signed/unsigned message envelopes involved in the incident for forensic signature analysis.</w:t>
            </w:r>
          </w:p>
        </w:tc>
      </w:tr>
      <w:tr>
        <w:tc>
          <w:tcPr>
            <w:tcW w:type="dxa" w:w="1800"/>
            <w:shd w:fill="F1F5F9" w:color="auto" w:val="clear"/>
          </w:tcPr>
          <w:p>
            <w:r>
              <w:rPr>
                <w:b/>
                <w:bCs/>
                <w:color w:val="0F172A"/>
                <w:sz w:val="20"/>
                <w:szCs w:val="20"/>
              </w:rPr>
              <w:t xml:space="preserve">Notification</w:t>
            </w:r>
          </w:p>
        </w:tc>
        <w:tc>
          <w:tcPr>
            <w:tcW w:type="dxa" w:w="7660"/>
            <w:shd w:fill="FFFFFF" w:color="auto" w:val="clear"/>
          </w:tcPr>
          <w:p>
            <w:r>
              <w:rPr>
                <w:b w:val="false"/>
                <w:bCs w:val="false"/>
                <w:color w:val="0F172A"/>
                <w:sz w:val="20"/>
                <w:szCs w:val="20"/>
              </w:rPr>
              <w:t xml:space="preserve">Notify AASE security and the owning team within 1 hour. If the compromised identity had access to customer-facing systems or data, notify affected stakeholders per SecureNova's breach notification timeline.</w:t>
            </w:r>
          </w:p>
        </w:tc>
      </w:tr>
      <w:tr>
        <w:tc>
          <w:tcPr>
            <w:tcW w:type="dxa" w:w="1800"/>
            <w:shd w:fill="F1F5F9" w:color="auto" w:val="clear"/>
          </w:tcPr>
          <w:p>
            <w:r>
              <w:rPr>
                <w:b/>
                <w:bCs/>
                <w:color w:val="0F172A"/>
                <w:sz w:val="20"/>
                <w:szCs w:val="20"/>
              </w:rPr>
              <w:t xml:space="preserve">Recovery</w:t>
            </w:r>
          </w:p>
        </w:tc>
        <w:tc>
          <w:tcPr>
            <w:tcW w:type="dxa" w:w="7660"/>
            <w:shd w:fill="FFFFFF" w:color="auto" w:val="clear"/>
          </w:tcPr>
          <w:p>
            <w:r>
              <w:rPr>
                <w:b w:val="false"/>
                <w:bCs w:val="false"/>
                <w:color w:val="0F172A"/>
                <w:sz w:val="20"/>
                <w:szCs w:val="20"/>
              </w:rPr>
              <w:t xml:space="preserve">Re-provision the agent identity following the full provisioning process (Section 1.1), including a new cryptographic key pair (Section 1.3). Require a security review sign-off before the re-provisioned identity returns to production.</w:t>
            </w:r>
          </w:p>
        </w:tc>
      </w:tr>
    </w:tbl>
    <w:p>
      <w:pPr>
        <w:pStyle w:val="Heading3"/>
        <w:spacing w:after="80" w:before="160"/>
      </w:pPr>
      <w:r>
        <w:t xml:space="preserve">Scenario C: Successful Prompt Injection Leading to Data Exfiltration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c>
          <w:tcPr>
            <w:tcW w:type="dxa" w:w="1800"/>
            <w:shd w:fill="1E293B" w:color="auto" w:val="clear"/>
          </w:tcPr>
          <w:p>
            <w:r>
              <w:rPr>
                <w:b/>
                <w:bCs/>
                <w:color w:val="FFFFFF"/>
                <w:sz w:val="20"/>
                <w:szCs w:val="20"/>
              </w:rPr>
              <w:t xml:space="preserve">Field</w:t>
            </w:r>
          </w:p>
        </w:tc>
        <w:tc>
          <w:tcPr>
            <w:tcW w:type="dxa" w:w="7660"/>
            <w:shd w:fill="1E293B" w:color="auto" w:val="clear"/>
          </w:tcPr>
          <w:p>
            <w:r>
              <w:rPr>
                <w:b/>
                <w:bCs/>
                <w:color w:val="FFFFFF"/>
                <w:sz w:val="20"/>
                <w:szCs w:val="20"/>
              </w:rPr>
              <w:t xml:space="preserve">Detail</w:t>
            </w:r>
          </w:p>
        </w:tc>
      </w:tr>
      <w:tr>
        <w:tc>
          <w:tcPr>
            <w:tcW w:type="dxa" w:w="1800"/>
            <w:shd w:fill="F1F5F9" w:color="auto" w:val="clear"/>
          </w:tcPr>
          <w:p>
            <w:r>
              <w:rPr>
                <w:b/>
                <w:bCs/>
                <w:color w:val="0F172A"/>
                <w:sz w:val="20"/>
                <w:szCs w:val="20"/>
              </w:rPr>
              <w:t xml:space="preserve">Detection Signals</w:t>
            </w:r>
          </w:p>
        </w:tc>
        <w:tc>
          <w:tcPr>
            <w:tcW w:type="dxa" w:w="7660"/>
            <w:shd w:fill="FFFFFF" w:color="auto" w:val="clear"/>
          </w:tcPr>
          <w:p>
            <w:r>
              <w:rPr>
                <w:b w:val="false"/>
                <w:bCs w:val="false"/>
                <w:color w:val="0F172A"/>
                <w:sz w:val="20"/>
                <w:szCs w:val="20"/>
              </w:rPr>
              <w:t xml:space="preserve">Output guardrail redaction event indicating a credential nearly leaked (Project 4.1, Screenshot 2); an unauthorized tool/MCP call detected in logs (as demonstrated in Project 3.4/3.5); anomaly detection alert for token reuse after expiry or unexpected data-export tool invocation.</w:t>
            </w:r>
          </w:p>
        </w:tc>
      </w:tr>
      <w:tr>
        <w:tc>
          <w:tcPr>
            <w:tcW w:type="dxa" w:w="1800"/>
            <w:shd w:fill="F1F5F9" w:color="auto" w:val="clear"/>
          </w:tcPr>
          <w:p>
            <w:r>
              <w:rPr>
                <w:b/>
                <w:bCs/>
                <w:color w:val="0F172A"/>
                <w:sz w:val="20"/>
                <w:szCs w:val="20"/>
              </w:rPr>
              <w:t xml:space="preserve">Containment</w:t>
            </w:r>
          </w:p>
        </w:tc>
        <w:tc>
          <w:tcPr>
            <w:tcW w:type="dxa" w:w="7660"/>
            <w:shd w:fill="FFFFFF" w:color="auto" w:val="clear"/>
          </w:tcPr>
          <w:p>
            <w:r>
              <w:rPr>
                <w:b w:val="false"/>
                <w:bCs w:val="false"/>
                <w:color w:val="0F172A"/>
                <w:sz w:val="20"/>
                <w:szCs w:val="20"/>
              </w:rPr>
              <w:t xml:space="preserve">Immediately disable the affected agent's tool-calling capability (e.g., MCP access) pending investigation (target: within 30 minutes). Block the identified injection source (document, RAG chunk, or upstream data feed) from further ingestion.</w:t>
            </w:r>
          </w:p>
        </w:tc>
      </w:tr>
      <w:tr>
        <w:tc>
          <w:tcPr>
            <w:tcW w:type="dxa" w:w="1800"/>
            <w:shd w:fill="F1F5F9" w:color="auto" w:val="clear"/>
          </w:tcPr>
          <w:p>
            <w:r>
              <w:rPr>
                <w:b/>
                <w:bCs/>
                <w:color w:val="0F172A"/>
                <w:sz w:val="20"/>
                <w:szCs w:val="20"/>
              </w:rPr>
              <w:t xml:space="preserve">Evidence Preservation</w:t>
            </w:r>
          </w:p>
        </w:tc>
        <w:tc>
          <w:tcPr>
            <w:tcW w:type="dxa" w:w="7660"/>
            <w:shd w:fill="FFFFFF" w:color="auto" w:val="clear"/>
          </w:tcPr>
          <w:p>
            <w:r>
              <w:rPr>
                <w:b w:val="false"/>
                <w:bCs w:val="false"/>
                <w:color w:val="0F172A"/>
                <w:sz w:val="20"/>
                <w:szCs w:val="20"/>
              </w:rPr>
              <w:t xml:space="preserve">Preserve the full ingested payload that triggered the injection, the complete model response, and any tool-call parameters (e.g., export destination) exactly as logged by the simulated/production agent.</w:t>
            </w:r>
          </w:p>
        </w:tc>
      </w:tr>
      <w:tr>
        <w:tc>
          <w:tcPr>
            <w:tcW w:type="dxa" w:w="1800"/>
            <w:shd w:fill="F1F5F9" w:color="auto" w:val="clear"/>
          </w:tcPr>
          <w:p>
            <w:r>
              <w:rPr>
                <w:b/>
                <w:bCs/>
                <w:color w:val="0F172A"/>
                <w:sz w:val="20"/>
                <w:szCs w:val="20"/>
              </w:rPr>
              <w:t xml:space="preserve">Notification</w:t>
            </w:r>
          </w:p>
        </w:tc>
        <w:tc>
          <w:tcPr>
            <w:tcW w:type="dxa" w:w="7660"/>
            <w:shd w:fill="FFFFFF" w:color="auto" w:val="clear"/>
          </w:tcPr>
          <w:p>
            <w:r>
              <w:rPr>
                <w:b w:val="false"/>
                <w:bCs w:val="false"/>
                <w:color w:val="0F172A"/>
                <w:sz w:val="20"/>
                <w:szCs w:val="20"/>
              </w:rPr>
              <w:t xml:space="preserve">Notify AASE security within 1 hour. If customer data was exported or exposed, notify Legal/Compliance and affected customers per applicable data-breach notification requirements (timeline governed by jurisdiction, but internal escalation must begin within 24 hours).</w:t>
            </w:r>
          </w:p>
        </w:tc>
      </w:tr>
      <w:tr>
        <w:tc>
          <w:tcPr>
            <w:tcW w:type="dxa" w:w="1800"/>
            <w:shd w:fill="F1F5F9" w:color="auto" w:val="clear"/>
          </w:tcPr>
          <w:p>
            <w:r>
              <w:rPr>
                <w:b/>
                <w:bCs/>
                <w:color w:val="0F172A"/>
                <w:sz w:val="20"/>
                <w:szCs w:val="20"/>
              </w:rPr>
              <w:t xml:space="preserve">Recovery</w:t>
            </w:r>
          </w:p>
        </w:tc>
        <w:tc>
          <w:tcPr>
            <w:tcW w:type="dxa" w:w="7660"/>
            <w:shd w:fill="FFFFFF" w:color="auto" w:val="clear"/>
          </w:tcPr>
          <w:p>
            <w:r>
              <w:rPr>
                <w:b w:val="false"/>
                <w:bCs w:val="false"/>
                <w:color w:val="0F172A"/>
                <w:sz w:val="20"/>
                <w:szCs w:val="20"/>
              </w:rPr>
              <w:t xml:space="preserve">Patch the injection vector (e.g., add the responsible pattern to the input guardrail's block-list, per Project 4.1). Re-run the Project 3 attack corresponding to this incident against the patched system to confirm remediation before restoring the disabled capability.</w:t>
            </w:r>
          </w:p>
        </w:tc>
      </w:tr>
    </w:tbl>
    <w:p>
      <w:r>
        <w:br w:type="page"/>
      </w:r>
    </w:p>
    <w:p>
      <w:pPr>
        <w:pStyle w:val="Heading1"/>
        <w:spacing w:after="150" w:before="300"/>
      </w:pPr>
      <w:r>
        <w:t xml:space="preserve">Policy Review and Ownership</w:t>
      </w:r>
    </w:p>
    <w:p>
      <w:pPr>
        <w:spacing w:after="120"/>
      </w:pPr>
      <w:r>
        <w:rPr>
          <w:sz w:val="22"/>
          <w:szCs w:val="22"/>
        </w:rPr>
        <w:t xml:space="preserve">This policy is owned by the AI Application Security Engineering (AASE) team and must be reviewed at least annually, or immediately following any incident handled under Section 3. Proposed changes require sign-off from AASE leadership and the 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2026-08-24T01:48:45.183Z</dcterms:created>
  <dcterms:modified xsi:type="dcterms:W3CDTF">2026-08-24T01:48:45.183Z</dcterms:modified>
</cp:coreProperties>
</file>

<file path=docProps/custom.xml><?xml version="1.0" encoding="utf-8"?>
<Properties xmlns="http://schemas.openxmlformats.org/officeDocument/2006/custom-properties" xmlns:vt="http://schemas.openxmlformats.org/officeDocument/2006/docPropsVTypes"/>
</file>