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4403FC">
      <w:pPr>
        <w:spacing w:after="20"/>
        <w:jc w:val="center"/>
      </w:pPr>
      <w:r>
        <w:rPr>
          <w:rFonts w:ascii="微软雅黑" w:hAnsi="微软雅黑" w:eastAsia="微软雅黑" w:cs="微软雅黑"/>
          <w:b/>
          <w:bCs/>
          <w:color w:val="1F3864"/>
          <w:sz w:val="28"/>
          <w:szCs w:val="28"/>
        </w:rPr>
        <w:t>银行业务线特殊结算内部操作指引</w:t>
      </w:r>
    </w:p>
    <w:p w14:paraId="6763E353">
      <w:pPr>
        <w:spacing w:after="120"/>
        <w:jc w:val="center"/>
      </w:pPr>
      <w:r>
        <w:rPr>
          <w:rFonts w:ascii="微软雅黑" w:hAnsi="微软雅黑" w:eastAsia="微软雅黑" w:cs="微软雅黑"/>
          <w:i/>
          <w:iCs/>
          <w:color w:val="808080"/>
          <w:sz w:val="16"/>
          <w:szCs w:val="16"/>
        </w:rPr>
        <w:t>（业务交付部门内部使用 · 精简版）</w:t>
      </w:r>
    </w:p>
    <w:tbl>
      <w:tblPr>
        <w:tblStyle w:val="11"/>
        <w:tblW w:w="151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4569"/>
        <w:gridCol w:w="3000"/>
        <w:gridCol w:w="4569"/>
      </w:tblGrid>
      <w:tr w14:paraId="07803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9F953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发布部门</w:t>
            </w:r>
          </w:p>
        </w:tc>
        <w:tc>
          <w:tcPr>
            <w:tcW w:w="456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3CFB5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中台交付部</w:t>
            </w:r>
          </w:p>
        </w:tc>
        <w:tc>
          <w:tcPr>
            <w:tcW w:w="3000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549BC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适用部门</w:t>
            </w:r>
          </w:p>
        </w:tc>
        <w:tc>
          <w:tcPr>
            <w:tcW w:w="456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6912E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业务交付部门</w:t>
            </w:r>
          </w:p>
        </w:tc>
      </w:tr>
      <w:tr w14:paraId="46613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5AFCA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生效日期</w:t>
            </w:r>
          </w:p>
        </w:tc>
        <w:tc>
          <w:tcPr>
            <w:tcW w:w="456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1C7F6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【待确认】</w:t>
            </w:r>
          </w:p>
        </w:tc>
        <w:tc>
          <w:tcPr>
            <w:tcW w:w="3000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C0DF9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9"/>
                <w:szCs w:val="19"/>
              </w:rPr>
              <w:t>版本号</w:t>
            </w:r>
          </w:p>
        </w:tc>
        <w:tc>
          <w:tcPr>
            <w:tcW w:w="456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4755C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V1.1（精简版）</w:t>
            </w:r>
          </w:p>
        </w:tc>
      </w:tr>
    </w:tbl>
    <w:p w14:paraId="020727DB">
      <w:pPr>
        <w:spacing w:after="100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B1C5110">
      <w:pPr>
        <w:spacing w:after="100" w:line="280" w:lineRule="auto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正常结算周期：每月20日发对账单，覆盖当月15日（含）前已过冷静期的保单。超出范围要求当月结算的，按下表</w:t>
      </w:r>
      <w:r>
        <w:rPr>
          <w:rFonts w:hint="eastAsia" w:cs="微软雅黑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三</w:t>
      </w:r>
      <w:r>
        <w:rPr>
          <w:rFonts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种情形处理；未批核保单一律不发佣金（情形三）。特殊结算金额=佣金总额，按月跨银行累计计算，达200万门槛后当笔及当月后续申请均需叶总审批，次月重新计算。</w:t>
      </w:r>
    </w:p>
    <w:p w14:paraId="1B86A424">
      <w:pPr>
        <w:pStyle w:val="2"/>
        <w:numPr>
          <w:ilvl w:val="0"/>
          <w:numId w:val="1"/>
        </w:numPr>
        <w:pBdr>
          <w:bottom w:val="single" w:color="2E5395" w:sz="6" w:space="4"/>
        </w:pBdr>
        <w:spacing w:before="260" w:after="140"/>
        <w:rPr>
          <w:rFonts w:ascii="微软雅黑" w:hAnsi="微软雅黑" w:eastAsia="微软雅黑" w:cs="微软雅黑"/>
          <w:b/>
          <w:bCs/>
          <w:color w:val="1F3864"/>
          <w:sz w:val="24"/>
          <w:szCs w:val="24"/>
        </w:rPr>
      </w:pPr>
      <w:r>
        <w:rPr>
          <w:rFonts w:hint="eastAsia" w:cs="微软雅黑"/>
          <w:b/>
          <w:bCs/>
          <w:color w:val="1F3864"/>
          <w:sz w:val="24"/>
          <w:szCs w:val="24"/>
          <w:lang w:val="en-US" w:eastAsia="zh-CN"/>
        </w:rPr>
        <w:t>超正常结算周期保单申请支付</w:t>
      </w:r>
      <w:r>
        <w:rPr>
          <w:rFonts w:ascii="微软雅黑" w:hAnsi="微软雅黑" w:eastAsia="微软雅黑" w:cs="微软雅黑"/>
          <w:b/>
          <w:bCs/>
          <w:color w:val="1F3864"/>
          <w:sz w:val="24"/>
          <w:szCs w:val="24"/>
        </w:rPr>
        <w:t>情况总表</w:t>
      </w:r>
    </w:p>
    <w:p w14:paraId="7AE8E2AB">
      <w:pPr>
        <w:numPr>
          <w:ilvl w:val="0"/>
          <w:numId w:val="0"/>
        </w:numPr>
      </w:pPr>
    </w:p>
    <w:tbl>
      <w:tblPr>
        <w:tblStyle w:val="11"/>
        <w:tblW w:w="137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74"/>
        <w:gridCol w:w="1695"/>
        <w:gridCol w:w="1170"/>
        <w:gridCol w:w="1875"/>
        <w:gridCol w:w="3300"/>
        <w:gridCol w:w="4080"/>
      </w:tblGrid>
      <w:tr w14:paraId="75F7C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674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0636A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情形</w:t>
            </w:r>
          </w:p>
        </w:tc>
        <w:tc>
          <w:tcPr>
            <w:tcW w:w="1695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C7DB4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批核时点</w:t>
            </w:r>
          </w:p>
        </w:tc>
        <w:tc>
          <w:tcPr>
            <w:tcW w:w="117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02E9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是否垫资</w:t>
            </w:r>
          </w:p>
        </w:tc>
        <w:tc>
          <w:tcPr>
            <w:tcW w:w="1875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E4C2A9">
            <w:pPr>
              <w:spacing w:after="0" w:line="240" w:lineRule="auto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当月累计特殊结算佣金</w:t>
            </w:r>
          </w:p>
        </w:tc>
        <w:tc>
          <w:tcPr>
            <w:tcW w:w="33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1A5B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审批流程</w:t>
            </w:r>
          </w:p>
        </w:tc>
        <w:tc>
          <w:tcPr>
            <w:tcW w:w="408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D9820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备注</w:t>
            </w:r>
          </w:p>
        </w:tc>
      </w:tr>
      <w:tr w14:paraId="194B9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74" w:type="dxa"/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8E34B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  <w:t>情形一</w:t>
            </w:r>
          </w:p>
        </w:tc>
        <w:tc>
          <w:tcPr>
            <w:tcW w:w="1695" w:type="dxa"/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C4D6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上月已批核</w:t>
            </w:r>
          </w:p>
        </w:tc>
        <w:tc>
          <w:tcPr>
            <w:tcW w:w="1170" w:type="dxa"/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A30F0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1875" w:type="dxa"/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AE170A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 w:cs="微软雅黑"/>
                <w:b w:val="0"/>
                <w:bCs w:val="0"/>
                <w:color w:val="000000"/>
                <w:sz w:val="18"/>
                <w:szCs w:val="18"/>
                <w:lang w:val="en-US" w:eastAsia="zh-CN"/>
              </w:rPr>
              <w:t>上月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已批核</w:t>
            </w:r>
            <w:r>
              <w:rPr>
                <w:rFonts w:hint="eastAsia" w:cs="微软雅黑"/>
                <w:b w:val="0"/>
                <w:bCs w:val="0"/>
                <w:color w:val="000000"/>
                <w:sz w:val="18"/>
                <w:szCs w:val="18"/>
                <w:lang w:val="en-US" w:eastAsia="zh-CN"/>
              </w:rPr>
              <w:t>保单，本月都能实收，顾不限制金额。</w:t>
            </w:r>
          </w:p>
        </w:tc>
        <w:tc>
          <w:tcPr>
            <w:tcW w:w="3300" w:type="dxa"/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D28E9B">
            <w:pPr>
              <w:spacing w:after="2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惠婷汇总</w:t>
            </w:r>
          </w:p>
          <w:p w14:paraId="6EEE3D51">
            <w:pPr>
              <w:spacing w:after="2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→ 蔡依娜反馈金额</w:t>
            </w:r>
          </w:p>
          <w:p w14:paraId="7F92481B">
            <w:pPr>
              <w:spacing w:after="2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→ Momo审批</w:t>
            </w:r>
          </w:p>
          <w:p w14:paraId="5BD34E0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 xml:space="preserve">→ </w:t>
            </w:r>
            <w:r>
              <w:rPr>
                <w:rFonts w:hint="eastAsia" w:cs="微软雅黑"/>
                <w:b w:val="0"/>
                <w:bCs w:val="0"/>
                <w:color w:val="000000"/>
                <w:sz w:val="18"/>
                <w:szCs w:val="18"/>
                <w:lang w:val="en-US" w:eastAsia="zh-CN"/>
              </w:rPr>
              <w:t>Momo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反馈惠婷 → 反馈前端</w:t>
            </w:r>
          </w:p>
        </w:tc>
        <w:tc>
          <w:tcPr>
            <w:tcW w:w="4080" w:type="dxa"/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191D66">
            <w:pPr>
              <w:spacing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</w:p>
        </w:tc>
      </w:tr>
      <w:tr w14:paraId="626E5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74" w:type="dxa"/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553D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  <w:t>情形二 (a)</w:t>
            </w:r>
          </w:p>
        </w:tc>
        <w:tc>
          <w:tcPr>
            <w:tcW w:w="1695" w:type="dxa"/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71ED7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本月才批核</w:t>
            </w:r>
          </w:p>
        </w:tc>
        <w:tc>
          <w:tcPr>
            <w:tcW w:w="1170" w:type="dxa"/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3459C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875" w:type="dxa"/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9C8E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累计 ≤ 200万</w:t>
            </w:r>
          </w:p>
        </w:tc>
        <w:tc>
          <w:tcPr>
            <w:tcW w:w="3300" w:type="dxa"/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71E1B3">
            <w:pPr>
              <w:spacing w:after="2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惠婷汇总(同步钟菲菲)</w:t>
            </w:r>
          </w:p>
          <w:p w14:paraId="2701B898">
            <w:pPr>
              <w:spacing w:after="20" w:line="240" w:lineRule="auto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→ 蔡依娜反馈金额</w:t>
            </w:r>
          </w:p>
          <w:p w14:paraId="163CC884">
            <w:pPr>
              <w:spacing w:after="2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→ 钟菲菲</w:t>
            </w:r>
            <w:r>
              <w:rPr>
                <w:rFonts w:hint="eastAsia" w:cs="微软雅黑"/>
                <w:b w:val="0"/>
                <w:bCs w:val="0"/>
                <w:color w:val="000000"/>
                <w:sz w:val="18"/>
                <w:szCs w:val="18"/>
                <w:lang w:val="en-US" w:eastAsia="zh-CN"/>
              </w:rPr>
              <w:t>审批</w:t>
            </w:r>
            <w:r>
              <w:rPr>
                <w:rFonts w:hint="eastAsia" w:cs="微软雅黑"/>
                <w:b w:val="0"/>
                <w:bCs w:val="0"/>
                <w:color w:val="00000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→ Momo审批</w:t>
            </w:r>
          </w:p>
          <w:p w14:paraId="711300F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 xml:space="preserve">→ </w:t>
            </w:r>
            <w:r>
              <w:rPr>
                <w:rFonts w:hint="eastAsia" w:cs="微软雅黑"/>
                <w:b w:val="0"/>
                <w:bCs w:val="0"/>
                <w:color w:val="000000"/>
                <w:sz w:val="18"/>
                <w:szCs w:val="18"/>
                <w:lang w:val="en-US" w:eastAsia="zh-CN"/>
              </w:rPr>
              <w:t>Momo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反馈惠婷 → 反馈前端</w:t>
            </w:r>
          </w:p>
        </w:tc>
        <w:tc>
          <w:tcPr>
            <w:tcW w:w="4080" w:type="dxa"/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A5C1C4">
            <w:pPr>
              <w:spacing w:after="0" w:line="240" w:lineRule="auto"/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bCs w:val="0"/>
                <w:color w:val="000000"/>
                <w:sz w:val="18"/>
                <w:szCs w:val="18"/>
                <w:lang w:val="en-US" w:eastAsia="zh-CN"/>
              </w:rPr>
              <w:t>蔡依娜记录垫付台账，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钟菲菲负责判断业务</w:t>
            </w:r>
            <w:r>
              <w:rPr>
                <w:rFonts w:hint="eastAsia" w:cs="微软雅黑"/>
                <w:b w:val="0"/>
                <w:bCs w:val="0"/>
                <w:color w:val="000000"/>
                <w:sz w:val="18"/>
                <w:szCs w:val="18"/>
                <w:lang w:val="en-US" w:eastAsia="zh-CN"/>
              </w:rPr>
              <w:t>垫资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必要性，Momo负责结算资金</w:t>
            </w:r>
            <w:r>
              <w:rPr>
                <w:rFonts w:hint="eastAsia" w:cs="微软雅黑"/>
                <w:b w:val="0"/>
                <w:bCs w:val="0"/>
                <w:color w:val="000000"/>
                <w:sz w:val="18"/>
                <w:szCs w:val="18"/>
                <w:lang w:val="en-US" w:eastAsia="zh-CN"/>
              </w:rPr>
              <w:t>安排</w:t>
            </w:r>
          </w:p>
        </w:tc>
      </w:tr>
      <w:tr w14:paraId="28789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74" w:type="dxa"/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09E8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  <w:t>情形二 (b)</w:t>
            </w:r>
          </w:p>
        </w:tc>
        <w:tc>
          <w:tcPr>
            <w:tcW w:w="1695" w:type="dxa"/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C6E8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本月才批核</w:t>
            </w:r>
          </w:p>
        </w:tc>
        <w:tc>
          <w:tcPr>
            <w:tcW w:w="1170" w:type="dxa"/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915F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875" w:type="dxa"/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315F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累计 &gt; 200万</w:t>
            </w:r>
          </w:p>
        </w:tc>
        <w:tc>
          <w:tcPr>
            <w:tcW w:w="3300" w:type="dxa"/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C11FEF">
            <w:pPr>
              <w:spacing w:after="2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惠婷汇总(同步钟菲菲)</w:t>
            </w:r>
          </w:p>
          <w:p w14:paraId="3D494DF1">
            <w:pPr>
              <w:spacing w:after="2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→ 蔡依娜反馈金额</w:t>
            </w:r>
          </w:p>
          <w:p w14:paraId="1D602C4D">
            <w:pPr>
              <w:spacing w:after="20" w:line="240" w:lineRule="auto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→ 钟菲菲</w:t>
            </w:r>
            <w:r>
              <w:rPr>
                <w:rFonts w:hint="eastAsia" w:cs="微软雅黑"/>
                <w:b w:val="0"/>
                <w:bCs w:val="0"/>
                <w:color w:val="000000"/>
                <w:sz w:val="18"/>
                <w:szCs w:val="18"/>
                <w:lang w:val="en-US" w:eastAsia="zh-CN"/>
              </w:rPr>
              <w:t>审批</w:t>
            </w:r>
            <w:r>
              <w:rPr>
                <w:rFonts w:hint="eastAsia" w:cs="微软雅黑"/>
                <w:b w:val="0"/>
                <w:bCs w:val="0"/>
                <w:color w:val="00000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→ Momo审批</w:t>
            </w:r>
          </w:p>
          <w:p w14:paraId="33CB10CD">
            <w:pPr>
              <w:spacing w:after="2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→ 叶总审批</w:t>
            </w:r>
          </w:p>
          <w:p w14:paraId="370EA03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 xml:space="preserve">→ </w:t>
            </w:r>
            <w:r>
              <w:rPr>
                <w:rFonts w:hint="eastAsia" w:cs="微软雅黑"/>
                <w:b w:val="0"/>
                <w:bCs w:val="0"/>
                <w:color w:val="000000"/>
                <w:sz w:val="18"/>
                <w:szCs w:val="18"/>
                <w:lang w:val="en-US" w:eastAsia="zh-CN"/>
              </w:rPr>
              <w:t>Momo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反馈惠婷 → 反馈前端</w:t>
            </w:r>
          </w:p>
        </w:tc>
        <w:tc>
          <w:tcPr>
            <w:tcW w:w="4080" w:type="dxa"/>
            <w:shd w:val="clear" w:color="auto" w:fill="FFF2C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7BF9B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叶总负责大额垫资最终决定；跨银行累计口径，次月重新计算</w:t>
            </w:r>
          </w:p>
        </w:tc>
      </w:tr>
      <w:tr w14:paraId="1E10A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74" w:type="dxa"/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5C22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  <w:t>情形三</w:t>
            </w:r>
          </w:p>
        </w:tc>
        <w:tc>
          <w:tcPr>
            <w:tcW w:w="1695" w:type="dxa"/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6E611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尚未批核</w:t>
            </w:r>
          </w:p>
        </w:tc>
        <w:tc>
          <w:tcPr>
            <w:tcW w:w="1170" w:type="dxa"/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6CC01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不适用</w:t>
            </w:r>
          </w:p>
        </w:tc>
        <w:tc>
          <w:tcPr>
            <w:tcW w:w="1875" w:type="dxa"/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D95DD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300" w:type="dxa"/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45C667">
            <w:pPr>
              <w:spacing w:after="0" w:line="240" w:lineRule="auto"/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不进入结算流程</w:t>
            </w:r>
            <w:r>
              <w:rPr>
                <w:rFonts w:hint="eastAsia" w:cs="微软雅黑"/>
                <w:b w:val="0"/>
                <w:bCs w:val="0"/>
                <w:color w:val="000000"/>
                <w:sz w:val="18"/>
                <w:szCs w:val="18"/>
                <w:lang w:eastAsia="zh-CN"/>
              </w:rPr>
              <w:t>；</w:t>
            </w:r>
          </w:p>
        </w:tc>
        <w:tc>
          <w:tcPr>
            <w:tcW w:w="4080" w:type="dxa"/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0A2AD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未批核保单一律不发放佣金，无论银行如何要求，均不适用特殊结算</w:t>
            </w:r>
          </w:p>
        </w:tc>
      </w:tr>
      <w:tr w14:paraId="6A512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74" w:type="dxa"/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CEF3A6">
            <w:pPr>
              <w:spacing w:after="0" w:line="240" w:lineRule="auto"/>
              <w:jc w:val="center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  <w:t>情形三·预处理</w:t>
            </w:r>
          </w:p>
        </w:tc>
        <w:tc>
          <w:tcPr>
            <w:tcW w:w="1695" w:type="dxa"/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D45502">
            <w:pPr>
              <w:spacing w:after="0" w:line="240" w:lineRule="auto"/>
              <w:jc w:val="center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尚未批核，
但</w:t>
            </w:r>
            <w:r>
              <w:rPr>
                <w:rFonts w:hint="eastAsia" w:cs="微软雅黑"/>
                <w:b w:val="0"/>
                <w:bCs w:val="0"/>
                <w:color w:val="000000"/>
                <w:sz w:val="18"/>
                <w:szCs w:val="18"/>
                <w:lang w:val="en-US" w:eastAsia="zh-CN"/>
              </w:rPr>
              <w:t>保司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公司承诺当月内完成批核</w:t>
            </w:r>
          </w:p>
        </w:tc>
        <w:tc>
          <w:tcPr>
            <w:tcW w:w="1170" w:type="dxa"/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4DD144">
            <w:pPr>
              <w:spacing w:after="0" w:line="240" w:lineRule="auto"/>
              <w:jc w:val="center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待定
（按批核后归入(a)/(b)）</w:t>
            </w:r>
          </w:p>
        </w:tc>
        <w:tc>
          <w:tcPr>
            <w:tcW w:w="1875" w:type="dxa"/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7005E6">
            <w:pPr>
              <w:spacing w:after="0" w:line="240" w:lineRule="auto"/>
              <w:jc w:val="center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视批核后确定</w:t>
            </w:r>
          </w:p>
        </w:tc>
        <w:tc>
          <w:tcPr>
            <w:tcW w:w="3300" w:type="dxa"/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84ECE4">
            <w:pPr>
              <w:spacing w:after="2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惠婷先行汇总情况</w:t>
            </w:r>
          </w:p>
          <w:p w14:paraId="4086C88D">
            <w:pPr>
              <w:spacing w:after="2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→ 蔡依娜预先反馈涉及佣金金额</w:t>
            </w:r>
          </w:p>
          <w:p w14:paraId="058CB6A2">
            <w:pPr>
              <w:spacing w:after="0" w:line="240" w:lineRule="auto"/>
              <w:jc w:val="left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→ 待保单正式批核后，按批核时点转入情形二(a)或(b)正式流程</w:t>
            </w:r>
          </w:p>
        </w:tc>
        <w:tc>
          <w:tcPr>
            <w:tcW w:w="4080" w:type="dxa"/>
            <w:shd w:val="clear" w:color="auto" w:fill="DDEB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16F961">
            <w:pPr>
              <w:spacing w:after="0" w:line="240" w:lineRule="auto"/>
              <w:jc w:val="left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8"/>
                <w:szCs w:val="18"/>
              </w:rPr>
              <w:t>仅为预备动作，不代表已批核，佣金仍须待正式批核完成后方可发放；若当月内最终未完成批核，仍按情形三处理，不发放佣金</w:t>
            </w:r>
          </w:p>
        </w:tc>
      </w:tr>
    </w:tbl>
    <w:p w14:paraId="1E076037">
      <w:pPr>
        <w:spacing w:after="100"/>
      </w:pPr>
    </w:p>
    <w:tbl>
      <w:tblPr>
        <w:tblStyle w:val="11"/>
        <w:tblW w:w="151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138"/>
      </w:tblGrid>
      <w:tr w14:paraId="2041C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138" w:type="dxa"/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F74B56">
            <w:pPr>
              <w:spacing w:after="60"/>
            </w:pPr>
            <w:r>
              <w:rPr>
                <w:rFonts w:ascii="微软雅黑" w:hAnsi="微软雅黑" w:eastAsia="微软雅黑" w:cs="微软雅黑"/>
                <w:b/>
                <w:bCs/>
                <w:color w:val="7F6000"/>
                <w:sz w:val="19"/>
                <w:szCs w:val="19"/>
              </w:rPr>
              <w:t>200万统计口径说明</w:t>
            </w:r>
          </w:p>
          <w:p w14:paraId="5CA6A039">
            <w:pPr>
              <w:pStyle w:val="16"/>
              <w:numPr>
                <w:ilvl w:val="0"/>
                <w:numId w:val="2"/>
              </w:numPr>
              <w:spacing w:after="40" w:line="260" w:lineRule="auto"/>
            </w:pPr>
            <w:r>
              <w:rPr>
                <w:rFonts w:ascii="微软雅黑" w:hAnsi="微软雅黑" w:eastAsia="微软雅黑" w:cs="微软雅黑"/>
                <w:color w:val="594600"/>
                <w:sz w:val="18"/>
                <w:szCs w:val="18"/>
              </w:rPr>
              <w:t>统计对象：仅统计情形二（本月才批核、银行要求当月结算、需公司垫资）涉及的佣金金额，情形一（无需垫资）不计入。</w:t>
            </w:r>
          </w:p>
          <w:p w14:paraId="3E896D5A">
            <w:pPr>
              <w:pStyle w:val="16"/>
              <w:numPr>
                <w:ilvl w:val="0"/>
                <w:numId w:val="2"/>
              </w:numPr>
              <w:spacing w:after="40" w:line="260" w:lineRule="auto"/>
            </w:pPr>
            <w:r>
              <w:rPr>
                <w:rFonts w:ascii="微软雅黑" w:hAnsi="微软雅黑" w:eastAsia="微软雅黑" w:cs="微软雅黑"/>
                <w:color w:val="594600"/>
                <w:sz w:val="18"/>
                <w:szCs w:val="18"/>
              </w:rPr>
              <w:t>统计指标：佣金总额，不含保费、保单件数等其他口径。</w:t>
            </w:r>
          </w:p>
          <w:p w14:paraId="7A91ED97">
            <w:pPr>
              <w:pStyle w:val="16"/>
              <w:numPr>
                <w:ilvl w:val="0"/>
                <w:numId w:val="2"/>
              </w:numPr>
              <w:spacing w:after="40" w:line="260" w:lineRule="auto"/>
            </w:pPr>
            <w:r>
              <w:rPr>
                <w:rFonts w:ascii="微软雅黑" w:hAnsi="微软雅黑" w:eastAsia="微软雅黑" w:cs="微软雅黑"/>
                <w:color w:val="594600"/>
                <w:sz w:val="18"/>
                <w:szCs w:val="18"/>
              </w:rPr>
              <w:t>统计范围：跨银行合并统计——将当月所有银行合作方在情形二下涉及垫资的佣金金额加总，而非按单一银行或单笔申请分别计算。</w:t>
            </w:r>
          </w:p>
          <w:p w14:paraId="5553C84A">
            <w:pPr>
              <w:pStyle w:val="16"/>
              <w:numPr>
                <w:ilvl w:val="0"/>
                <w:numId w:val="2"/>
              </w:numPr>
              <w:spacing w:after="40" w:line="260" w:lineRule="auto"/>
            </w:pPr>
            <w:r>
              <w:rPr>
                <w:rFonts w:ascii="微软雅黑" w:hAnsi="微软雅黑" w:eastAsia="微软雅黑" w:cs="微软雅黑"/>
                <w:color w:val="594600"/>
                <w:sz w:val="18"/>
                <w:szCs w:val="18"/>
              </w:rPr>
              <w:t>统计周期：按自然月计算（当月1日至当月末），次月起累计金额重新从零开始计算，不结转上月余额。</w:t>
            </w:r>
          </w:p>
          <w:p w14:paraId="509D00C1">
            <w:pPr>
              <w:pStyle w:val="16"/>
              <w:numPr>
                <w:ilvl w:val="0"/>
                <w:numId w:val="2"/>
              </w:numPr>
              <w:spacing w:after="40" w:line="260" w:lineRule="auto"/>
            </w:pPr>
            <w:r>
              <w:rPr>
                <w:rFonts w:ascii="微软雅黑" w:hAnsi="微软雅黑" w:eastAsia="微软雅黑" w:cs="微软雅黑"/>
                <w:color w:val="594600"/>
                <w:sz w:val="18"/>
                <w:szCs w:val="18"/>
              </w:rPr>
              <w:t>门槛触发：当月累计金额达到200万的当笔申请及当月后续申请，均需增加叶总审批环节（即适用情形二(b)流程）；此前已按情形二(a)审批通过的申请不追溯调整。</w:t>
            </w:r>
          </w:p>
          <w:p w14:paraId="3442659E">
            <w:pPr>
              <w:pStyle w:val="16"/>
              <w:numPr>
                <w:ilvl w:val="0"/>
                <w:numId w:val="2"/>
              </w:numPr>
              <w:spacing w:after="40" w:line="260" w:lineRule="auto"/>
            </w:pPr>
            <w:r>
              <w:rPr>
                <w:rFonts w:ascii="微软雅黑" w:hAnsi="微软雅黑" w:eastAsia="微软雅黑" w:cs="微软雅黑"/>
                <w:color w:val="594600"/>
                <w:sz w:val="18"/>
                <w:szCs w:val="18"/>
              </w:rPr>
              <w:t>台账维护：由惠婷负责实时更新并维护当月累计台账，作为判断当笔申请应走(a)档还是(b)档的依据。</w:t>
            </w:r>
          </w:p>
        </w:tc>
      </w:tr>
    </w:tbl>
    <w:p w14:paraId="50B9DCF6">
      <w:pPr>
        <w:spacing w:after="120"/>
      </w:pPr>
    </w:p>
    <w:p w14:paraId="4AE7F9DA">
      <w:pPr>
        <w:pStyle w:val="2"/>
        <w:pBdr>
          <w:bottom w:val="single" w:color="2E5395" w:sz="6" w:space="4"/>
        </w:pBdr>
        <w:spacing w:before="260" w:after="140"/>
      </w:pPr>
      <w:r>
        <w:rPr>
          <w:rFonts w:ascii="微软雅黑" w:hAnsi="微软雅黑" w:eastAsia="微软雅黑" w:cs="微软雅黑"/>
          <w:b/>
          <w:bCs/>
          <w:color w:val="1F3864"/>
          <w:sz w:val="24"/>
          <w:szCs w:val="24"/>
        </w:rPr>
        <w:t>二、角色职责</w:t>
      </w:r>
    </w:p>
    <w:tbl>
      <w:tblPr>
        <w:tblStyle w:val="11"/>
        <w:tblW w:w="97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29"/>
        <w:gridCol w:w="2670"/>
        <w:gridCol w:w="5160"/>
      </w:tblGrid>
      <w:tr w14:paraId="5192A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29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D03E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角色</w:t>
            </w:r>
          </w:p>
        </w:tc>
        <w:tc>
          <w:tcPr>
            <w:tcW w:w="267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5676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姓名</w:t>
            </w:r>
          </w:p>
        </w:tc>
        <w:tc>
          <w:tcPr>
            <w:tcW w:w="516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2EFB9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职责</w:t>
            </w:r>
          </w:p>
        </w:tc>
      </w:tr>
      <w:tr w14:paraId="69C78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2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A39FF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需求提出</w:t>
            </w:r>
          </w:p>
        </w:tc>
        <w:tc>
          <w:tcPr>
            <w:tcW w:w="267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4CB55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银行端口
（业务交付前端）</w:t>
            </w:r>
          </w:p>
        </w:tc>
        <w:tc>
          <w:tcPr>
            <w:tcW w:w="51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B14DB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提出特殊结算需求，说明保单范围及原因</w:t>
            </w:r>
          </w:p>
        </w:tc>
      </w:tr>
      <w:tr w14:paraId="430D4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29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6B35D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需求汇总</w:t>
            </w:r>
          </w:p>
        </w:tc>
        <w:tc>
          <w:tcPr>
            <w:tcW w:w="2670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12E54C">
            <w:pPr>
              <w:spacing w:after="0" w:line="240" w:lineRule="auto"/>
              <w:jc w:val="left"/>
            </w:pPr>
            <w:r>
              <w:rPr>
                <w:rFonts w:hint="eastAsia" w:cs="微软雅黑"/>
                <w:b w:val="0"/>
                <w:bCs w:val="0"/>
                <w:color w:val="000000"/>
                <w:sz w:val="19"/>
                <w:szCs w:val="19"/>
                <w:lang w:val="en-US" w:eastAsia="zh-CN"/>
              </w:rPr>
              <w:t>张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惠婷</w:t>
            </w:r>
          </w:p>
        </w:tc>
        <w:tc>
          <w:tcPr>
            <w:tcW w:w="5160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7F5CE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汇总需求、发起流程；需同步钟菲菲，</w:t>
            </w:r>
          </w:p>
        </w:tc>
      </w:tr>
      <w:tr w14:paraId="5F249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2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E3A01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金额核实</w:t>
            </w:r>
          </w:p>
        </w:tc>
        <w:tc>
          <w:tcPr>
            <w:tcW w:w="267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6A22A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蔡依娜</w:t>
            </w:r>
          </w:p>
        </w:tc>
        <w:tc>
          <w:tcPr>
            <w:tcW w:w="51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5CC7DC">
            <w:pPr>
              <w:spacing w:after="0" w:line="240" w:lineRule="auto"/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核实并反馈涉及的佣金金额</w:t>
            </w:r>
            <w:r>
              <w:rPr>
                <w:rFonts w:hint="eastAsia" w:cs="微软雅黑"/>
                <w:b w:val="0"/>
                <w:bCs w:val="0"/>
                <w:color w:val="000000"/>
                <w:sz w:val="19"/>
                <w:szCs w:val="19"/>
                <w:lang w:eastAsia="zh-CN"/>
              </w:rPr>
              <w:t>，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并维护当月跨银行垫资佣金累计台账</w:t>
            </w:r>
          </w:p>
        </w:tc>
      </w:tr>
      <w:tr w14:paraId="5F8CA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29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8D93A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业务必要性一审</w:t>
            </w:r>
          </w:p>
        </w:tc>
        <w:tc>
          <w:tcPr>
            <w:tcW w:w="2670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4B40E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钟菲菲</w:t>
            </w:r>
          </w:p>
        </w:tc>
        <w:tc>
          <w:tcPr>
            <w:tcW w:w="5160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6CEEE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情形二（涉及垫资）的申请，一审业务必要性及是否建议垫付</w:t>
            </w:r>
          </w:p>
        </w:tc>
      </w:tr>
      <w:tr w14:paraId="21DE9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29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F3454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结算审批</w:t>
            </w:r>
          </w:p>
        </w:tc>
        <w:tc>
          <w:tcPr>
            <w:tcW w:w="267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A845C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Momo</w:t>
            </w:r>
          </w:p>
        </w:tc>
        <w:tc>
          <w:tcPr>
            <w:tcW w:w="51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3B6E08">
            <w:pPr>
              <w:spacing w:after="0" w:line="240" w:lineRule="auto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审批结算安排及资金垫付的</w:t>
            </w:r>
            <w:r>
              <w:rPr>
                <w:rFonts w:hint="eastAsia" w:cs="微软雅黑"/>
                <w:b w:val="0"/>
                <w:bCs w:val="0"/>
                <w:color w:val="000000"/>
                <w:sz w:val="19"/>
                <w:szCs w:val="19"/>
                <w:lang w:val="en-US" w:eastAsia="zh-CN"/>
              </w:rPr>
              <w:t>安排</w:t>
            </w:r>
          </w:p>
        </w:tc>
      </w:tr>
      <w:tr w14:paraId="19D96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29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CB634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大额垫资终审</w:t>
            </w:r>
          </w:p>
        </w:tc>
        <w:tc>
          <w:tcPr>
            <w:tcW w:w="2670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52E9C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叶总</w:t>
            </w:r>
          </w:p>
        </w:tc>
        <w:tc>
          <w:tcPr>
            <w:tcW w:w="5160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540C7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19"/>
                <w:szCs w:val="19"/>
              </w:rPr>
              <w:t>当月累计垫资佣金金额达到200万以上时，负责最终决定</w:t>
            </w:r>
          </w:p>
        </w:tc>
      </w:tr>
    </w:tbl>
    <w:p w14:paraId="2933C5BC">
      <w:pPr>
        <w:spacing w:after="160"/>
      </w:pPr>
    </w:p>
    <w:p w14:paraId="761C0184">
      <w:pPr>
        <w:pStyle w:val="2"/>
        <w:pBdr>
          <w:bottom w:val="single" w:color="2E5395" w:sz="6" w:space="4"/>
        </w:pBdr>
        <w:spacing w:before="260" w:after="140"/>
      </w:pPr>
      <w:r>
        <w:rPr>
          <w:rFonts w:ascii="微软雅黑" w:hAnsi="微软雅黑" w:eastAsia="微软雅黑" w:cs="微软雅黑"/>
          <w:b/>
          <w:bCs/>
          <w:color w:val="1F3864"/>
          <w:sz w:val="24"/>
          <w:szCs w:val="24"/>
        </w:rPr>
        <w:t>三、时效与附则</w:t>
      </w:r>
    </w:p>
    <w:p w14:paraId="7FAB1A88">
      <w:pPr>
        <w:pStyle w:val="16"/>
        <w:numPr>
          <w:ilvl w:val="0"/>
          <w:numId w:val="2"/>
        </w:numPr>
        <w:spacing w:after="60" w:line="260" w:lineRule="auto"/>
      </w:pPr>
      <w:r>
        <w:rPr>
          <w:rFonts w:ascii="微软雅黑" w:hAnsi="微软雅黑" w:eastAsia="微软雅黑" w:cs="微软雅黑"/>
          <w:sz w:val="19"/>
          <w:szCs w:val="19"/>
        </w:rPr>
        <w:t>时效要求：各环节原则上为 T+1，即收到上一环节流转后1个工作日内完成处理并流转至下一环节；如需延长，经办人应说明原因并同步相关方。</w:t>
      </w:r>
    </w:p>
    <w:p w14:paraId="6EBAE75B">
      <w:pPr>
        <w:pStyle w:val="16"/>
        <w:numPr>
          <w:ilvl w:val="0"/>
          <w:numId w:val="2"/>
        </w:numPr>
        <w:spacing w:after="60" w:line="260" w:lineRule="auto"/>
      </w:pPr>
      <w:r>
        <w:rPr>
          <w:rFonts w:ascii="微软雅黑" w:hAnsi="微软雅黑" w:eastAsia="微软雅黑" w:cs="微软雅黑"/>
          <w:sz w:val="19"/>
          <w:szCs w:val="19"/>
        </w:rPr>
        <w:t>本指引自发布之日起施行，由中台交付部负责解释和修订；如遇未覆盖的特殊情况，业务交付部门应先与中台交付部沟通，不得自行结算。</w:t>
      </w:r>
    </w:p>
    <w:sectPr>
      <w:pgSz w:w="16838" w:h="11906"/>
      <w:pgMar w:top="600" w:right="700" w:bottom="600" w:left="7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3C0E43"/>
    <w:multiLevelType w:val="singleLevel"/>
    <w:tmpl w:val="B63C0E4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80" w:hanging="22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1D803E5"/>
    <w:rsid w:val="02054F52"/>
    <w:rsid w:val="05B13426"/>
    <w:rsid w:val="0A9E5F43"/>
    <w:rsid w:val="0C4C7D73"/>
    <w:rsid w:val="12747CB6"/>
    <w:rsid w:val="178279D2"/>
    <w:rsid w:val="1B5A7C65"/>
    <w:rsid w:val="1C874A89"/>
    <w:rsid w:val="1D266CE1"/>
    <w:rsid w:val="1E5866DD"/>
    <w:rsid w:val="1ECE699F"/>
    <w:rsid w:val="22E93D1A"/>
    <w:rsid w:val="31FB7654"/>
    <w:rsid w:val="34F860CC"/>
    <w:rsid w:val="37D20E57"/>
    <w:rsid w:val="3A06303A"/>
    <w:rsid w:val="3FA255B3"/>
    <w:rsid w:val="413466DE"/>
    <w:rsid w:val="451900C5"/>
    <w:rsid w:val="53530C46"/>
    <w:rsid w:val="5CD03307"/>
    <w:rsid w:val="5F294F51"/>
    <w:rsid w:val="692A1129"/>
    <w:rsid w:val="6A537326"/>
    <w:rsid w:val="70B86135"/>
    <w:rsid w:val="72712A3F"/>
    <w:rsid w:val="74EB6AD9"/>
    <w:rsid w:val="77440722"/>
    <w:rsid w:val="775B5A6C"/>
    <w:rsid w:val="7A79016F"/>
    <w:rsid w:val="7F79118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19"/>
      <w:szCs w:val="19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19"/>
      <w:szCs w:val="19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19"/>
      <w:szCs w:val="19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19"/>
      <w:szCs w:val="19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19"/>
      <w:szCs w:val="19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1291</Words>
  <Characters>1356</Characters>
  <TotalTime>16</TotalTime>
  <ScaleCrop>false</ScaleCrop>
  <LinksUpToDate>false</LinksUpToDate>
  <CharactersWithSpaces>1385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2026-08-20T08:10:00Z</dcterms:created>
  <dc:creator>Un-named</dc:creator>
  <cp:lastModifiedBy>蒋辰汐</cp:lastModifiedBy>
  <dcterms:modified xsi:type="dcterms:W3CDTF">2026-08-20T08:58:15Z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eyJoZGlkIjoiZTY5MjVhMTgyYjVkMjRjMjE2MjFhYzI3ZDRhZmYwMzIiLCJ1c2VySWQiOiIxODM4MzYyNTYxIn0=</vt:lpwstr>
  </property>
  <property fmtid="{D5CDD505-2E9C-101B-9397-08002B2CF9AE}" pid="3" name="KSOProductBuildVer">
    <vt:lpwstr>2052-12.1.0.28043</vt:lpwstr>
  </property>
  <property fmtid="{D5CDD505-2E9C-101B-9397-08002B2CF9AE}" pid="4" name="ICV">
    <vt:lpwstr>E0E82FE92C4142E4A258E257B4454646_13</vt:lpwstr>
  </property>
</Properties>
</file>