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48"/>
          <w:szCs w:val="48"/>
        </w:rPr>
        <w:t xml:space="preserve">香港保险2026年Q1信息图</w:t>
      </w:r>
    </w:p>
    <w:p>
      <w:pPr>
        <w:spacing w:after="120"/>
        <w:jc w:val="center"/>
      </w:pPr>
      <w:r>
        <w:rPr>
          <w:rFonts w:ascii="WenQuanYi Micro Hei" w:cs="WenQuanYi Micro Hei" w:eastAsia="WenQuanYi Micro Hei" w:hAnsi="WenQuanYi Micro Hei"/>
          <w:color w:val="2E75B6"/>
          <w:sz w:val="32"/>
          <w:szCs w:val="32"/>
        </w:rPr>
        <w:t xml:space="preserve">结构拆解与图片展示逻辑分析</w:t>
      </w:r>
    </w:p>
    <w:p>
      <w:pPr>
        <w:pBdr>
          <w:bottom w:val="single" w:color="2E75B6" w:sz="4" w:space="8"/>
        </w:pBdr>
        <w:spacing w:after="600"/>
        <w:jc w:val="center"/>
      </w:pPr>
      <w:r>
        <w:rPr>
          <w:rFonts w:ascii="WenQuanYi Micro Hei" w:cs="WenQuanYi Micro Hei" w:eastAsia="WenQuanYi Micro Hei" w:hAnsi="WenQuanYi Micro Hei"/>
          <w:color w:val="666666"/>
          <w:sz w:val="22"/>
          <w:szCs w:val="22"/>
        </w:rPr>
        <w:t xml:space="preserve">文档类型：内容复盘 / 竞品参考</w:t>
      </w:r>
    </w:p>
    <w:p>
      <w:pPr>
        <w:spacing w:after="200"/>
      </w:pP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数据来源：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香港保险业监管局（IA）2026年第一季度统计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分析对象：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「香港保险圈」发布的信息图（2025年7月24日）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全图核心结论：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全港新单保费1,411亿港元，同比+51%，创历史新高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目录</w:t>
      </w:r>
    </w:p>
    <w:p>
      <w:pPr>
        <w:spacing w:after="120" w:line="360"/>
        <w:ind w:left="20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第一章  引言</w:t>
      </w:r>
    </w:p>
    <w:p>
      <w:pPr>
        <w:spacing w:after="120" w:line="360"/>
        <w:ind w:left="20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第二章  01 全港新单保费1,411亿港元</w:t>
      </w:r>
    </w:p>
    <w:p>
      <w:pPr>
        <w:spacing w:after="120" w:line="360"/>
        <w:ind w:left="40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  2.1 全港新单保费概览</w:t>
      </w:r>
    </w:p>
    <w:p>
      <w:pPr>
        <w:spacing w:after="120" w:line="360"/>
        <w:ind w:left="40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  2.2 香港保险公司排名（四维度）</w:t>
      </w:r>
    </w:p>
    <w:p>
      <w:pPr>
        <w:spacing w:after="120" w:line="360"/>
        <w:ind w:left="40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  2.3 香港保险公司均件保费</w:t>
      </w:r>
    </w:p>
    <w:p>
      <w:pPr>
        <w:spacing w:after="120" w:line="360"/>
        <w:ind w:left="40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  2.4 香港保险公司缴费结构</w:t>
      </w:r>
    </w:p>
    <w:p>
      <w:pPr>
        <w:spacing w:after="120" w:line="360"/>
        <w:ind w:left="40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  2.5 香港保险公司渠道结构</w:t>
      </w:r>
    </w:p>
    <w:p>
      <w:pPr>
        <w:spacing w:after="120" w:line="360"/>
        <w:ind w:left="20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第三章  02 看点总结</w:t>
      </w:r>
    </w:p>
    <w:p>
      <w:pPr>
        <w:spacing w:after="120" w:line="360"/>
        <w:ind w:left="40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  3.1 核心数据看板</w:t>
      </w:r>
    </w:p>
    <w:p>
      <w:pPr>
        <w:spacing w:after="120" w:line="360"/>
        <w:ind w:left="40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  3.2 深度分析文章</w:t>
      </w:r>
    </w:p>
    <w:p>
      <w:pPr>
        <w:spacing w:after="120" w:line="360"/>
        <w:ind w:left="20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第四章  整体图片叙事逻辑总结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第一章  引言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1.1 结构：标题 + 核心观点 + 作者信息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主体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宣布香港保险2026年首季新单保费创下1,411亿港元的历史新高，同比增长51%，并引出下文的数据分析。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细节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数据背景：2026年一季度香港保险业监管局公布的数据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核心数据：全港新单保费1,411亿港元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同比增幅：+51%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图片展示逻辑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顶部大字号标题 + 副标题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居中铺开，形成「封面感」，第一时间锚定读者注意力。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核心数字「1,411亿」做超大号加粗处理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视觉上形成冲击——这是整张图最重要的一个数字，引言阶段就先抛出来制造悬念。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下方小字补充数据来源和时间背景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建立可信度。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整体叙事手法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「结论前置 → 数据背书」的倒金字塔结构，读者无需向下滚动就已接收到核心信息。</w:t>
      </w:r>
    </w:p>
    <w:p>
      <w:pPr>
        <w:pBdr>
          <w:bottom w:val="single" w:color="D6E4F0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第二章  01 全港新单保费1,411亿港元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该章节通过多个维度详细拆解保费数据，结构清晰，层层递进。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2.1 全港新单保费概览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结构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折线趋势图 + 文字解读 + 历年数据对比表。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主体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展示2026年一季度保费达到1,411亿港元，不仅是历史新高，且增速惊人。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细节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2025年同期：934亿港元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增长幅度：净增477亿，同比大增51%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历史对比：轻松超越2024年全年保费，单季度数据创历史新高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图表数据：列出2018年至2026年每年第一季度的保费数据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图片展示逻辑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左侧/上方放折线趋势图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X轴为年份（2018–2026 Q1），Y轴为保费金额。2026 Q1的数据点用醒目的高亮色（如红色或橙色）标注，与前几年形成强烈对比——视觉上直接传达「爆发」的感觉。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右侧/下方配历年数据对比表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表格按年份逐行列出的同时，2026 Q1那一行用底色填充或加粗，让读者能从图中「看到趋势」后，再从表中「读到精确数字」，形成「图感知 → 表确认」的双重验证。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中间穿插关键文字解读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如「+51% YoY」，用箭头↑符号强化增长语义。</w:t>
      </w:r>
    </w:p>
    <w:p>
      <w:pPr>
        <w:pBdr>
          <w:bottom w:val="single" w:color="D6E4F0" w:sz="2" w:space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2.2 香港保险公司排名（四个维度）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从四个不同的统计维度对保险公司进行排名和分析。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维度一：按总保费收入（整付+年度化保费）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排名前列：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汇丰人寿、宏利、保诚、友邦、安盛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市场集中度：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前5名合计占据约70%的市场份额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展示形式：各公司保费规模柱状图及市场份额饼图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维度二：按标准保费收入（整付×10%+年度化保费）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排名前列：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汇丰人寿、中银人寿、友邦、宏利、永明金融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市场集中度：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前5名合计占据约72%的市场份额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说明：剔除整付保费干扰后，看各公司的真实业务质量排名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维度三：按非标准保费收入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排名前列：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友邦、宏利、永明金融、保诚、国寿海外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说明：统计大额整付保单的收入排名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维度四：经纪业务排名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排名前列：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永明金融、中银人寿、友邦、宏利、太寿香港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说明：统计通过经纪渠道达成的保费排名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图片展示逻辑（四个维度通用）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统一采用横向条形图 + 百分比标签的模板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四个维度保持相同的视觉骨架，降低读者的认知切换成本。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每个维度按排名从高到低排列条形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第一名最长，依次递减，形成天然的「榜单感」。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品牌Logo或公司名称用彩色区分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如汇丰用红色、友邦用橙色等，利用品牌色帮助读者快速定位关心的公司。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每个维度旁附小型饼图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展示Top5的份额占比。条形图负责「谁排第几」，饼图负责「集中度有多高」，两者互补。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四个维度排列顺序有逻辑递进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从「总量」→「质量」→「大额保单」→「渠道细分」，从粗到细、从宏观到微观。</w:t>
      </w:r>
    </w:p>
    <w:p>
      <w:pPr>
        <w:pBdr>
          <w:bottom w:val="single" w:color="D6E4F0" w:sz="2" w:space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2.3 香港保险公司均件保费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结构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数据表格，分析不同公司保单的平均保费（总保费÷保单数），反映客户群体的投保能力。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细节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TOP5均件保费最高：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富卫、中国人寿、宏利、保诚、安盛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TOP5均件保费最低：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中国人寿（海外）、友邦、汇丰人寿、国寿海外、立桥人寿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体现了高端市场与大众市场的分化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图片展示逻辑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左右分栏或上下两组列表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一组是「均件保费最高Top5」，一组是「均件保费最低Top5」，形成鲜明对比。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每组内部用数字序号 + 公司名 + 金额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金额用较大字号突出。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视觉配色暗示市场分层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暖色系（红/橙）表示高均件、冷色系（蓝/灰）表示低均件，暗示「高端市场 vs 大众市场」的分化。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刻意不放复杂图表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因为核心信息是「排序和数值」，简单的表格/列表反而最有效。</w:t>
      </w:r>
    </w:p>
    <w:p>
      <w:pPr>
        <w:pBdr>
          <w:bottom w:val="single" w:color="D6E4F0" w:sz="2" w:space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2.4 香港保险公司缴费结构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结构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饼状图 + 文字说明，分析客户的交费年期偏好。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细节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整付（一次性交清）：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占比最高，达64.1%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10年以上：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占比22.8%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5-10年：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占比11.7%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结论：客户更倾向于高资金流动性或高杠杆的短期交费模式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图片展示逻辑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主视觉是环形饼图（Donut Chart）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中间留白处标注「64.1%」——把最大的那块数据直接放在视觉中心，让人一眼就知道「整付是绝对主力」。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图例按从大到小顺时针排列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整付→10年以上→5-10年→其他，符合阅读习惯。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饼图旁配简短文字结论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如「客户偏好短期交费/高杠杆」，图负责展示事实，文负责给出解读，不喧宾夺主。</w:t>
      </w:r>
    </w:p>
    <w:p>
      <w:pPr>
        <w:pBdr>
          <w:bottom w:val="single" w:color="D6E4F0" w:sz="2" w:space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2.5 香港保险公司渠道结构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结构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柱状图 + 文字总结，展示不同销售渠道的市场占比。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细节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银行渠道：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占据绝对主导地位，占比42.1%（主要为汇丰、中银等）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代理人渠道：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占比38.3%，依然是重要的销售力量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经纪渠道：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占比16.2%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其他：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3.5%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图片展示逻辑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采用堆叠柱状图或分段条形图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四种渠道用不同颜色分段填充，总长度代表100%。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银行渠道用最深/最饱和的颜色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其他渠道用较浅的灰色调，制造「主次分明」的视觉效果。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柱子上方或各段内直接标注百分比数字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做到「看图即知数」，不需要反复对照图例。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旁边配一句总结性文字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点出「银行渠道主导」的结论，与图互相印证。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第三章  02 看点总结</w:t>
      </w: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3.1 核心数据看板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结构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核心数据看板 + 深度分析文章，提炼图表中的关键信息并进行深度解读。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细节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同比/占比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总保费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1,411亿港元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+51%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历史新高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货币结构-美元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84.9%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主导货币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离岸美元保单为主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货币结构-港元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12.5%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次要货币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本地客户为主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缴费结构-整付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64.1%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绝对主力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高净值客户偏好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渠道结构-银行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42.1%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渠道第一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汇丰/中银主导</w:t>
            </w:r>
          </w:p>
        </w:tc>
      </w:tr>
    </w:tbl>
    <w:p>
      <w:pPr>
        <w:spacing w:after="80"/>
      </w:pP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此外还包含标准保费和非标准保费的前20名排名气泡图，气泡大小代表保费份额。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图片展示逻辑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「仪表盘式」布局（Dashboard Layout）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多个数据卡片平铺排列，每张卡片包含【指标名称+大数字+单位+环比/同比变化】。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卡片间用浅色分隔线或圆角边框区隔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整体看起来像企业BI报表的风格，传递「专业、权威」的气质。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数字用等宽字体展示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确保位数对齐，视觉上更整齐。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变化率用绿色↑箭头标注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利用颜色编码快速传递好坏判断（这里全是增长所以用绿色↑）。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气泡图用于排名展示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气泡大小代表保费份额，公司名称直接标注在气泡旁，一目了然。</w:t>
      </w:r>
    </w:p>
    <w:p>
      <w:pPr>
        <w:pBdr>
          <w:bottom w:val="single" w:color="D6E4F0" w:sz="2" w:space="4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WenQuanYi Micro Hei" w:cs="WenQuanYi Micro Hei" w:eastAsia="WenQuanYi Micro Hei" w:hAnsi="WenQuanYi Micro Hei"/>
          <w:b/>
          <w:bCs/>
          <w:color w:val="2E75B6"/>
          <w:sz w:val="28"/>
          <w:szCs w:val="28"/>
        </w:rPr>
        <w:t xml:space="preserve">3.2 深度分析文章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结构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从「数据卡片」切换到「图文混排」的长文模式。</w:t>
      </w: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细节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业绩爆发：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2026年Q1创纪录，总保费1,411亿，个人新单1,403亿。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内地访客数据：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虽未公布具体数据，但提到「内地访客数据及详情」，并指出由于5%高才通续签效应及D-SDI监管框架落地，预计内地访客市场将保持活跃。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高净值人群涌入：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中国普通寿险市场以离岸美元保单为主，美国次之，反映高净值人群的资产全球化配置需求。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市场展望：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预计随着各项政策的稳定，香港保险市场将继续保持强劲增长。</w:t>
      </w:r>
    </w:p>
    <w:p>
      <w:pPr>
        <w:spacing w:after="80"/>
      </w:pPr>
    </w:p>
    <w:p>
      <w:pPr>
        <w:pStyle w:val="Heading3"/>
        <w:spacing w:after="120" w:before="20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4"/>
          <w:szCs w:val="24"/>
        </w:rPr>
        <w:t xml:space="preserve">图片展示逻辑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标题用粗体，段落首行缩进或左对齐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行距宽松，保证可读性。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文中关键数据用加粗或高亮底色标记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如「84.9%」「5%高才通」，让读者扫读时不会错过重点。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政策背景用小型引用框（Quote Box）单独拎出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如D-SDI监管框架，与主文形成层次区分。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WenQuanYi Micro Hei" w:cs="WenQuanYi Micro Hei" w:eastAsia="WenQuanYi Micro Hei" w:hAnsi="WenQuanYi Micro Hei"/>
          <w:b/>
          <w:bCs/>
          <w:color w:val="333333"/>
          <w:sz w:val="22"/>
          <w:szCs w:val="22"/>
        </w:rPr>
        <w:t xml:space="preserve">排名图表再次出现时采用精简版</w:t>
      </w: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只列前10-20名，去掉饼图，起到「呼应前文、收束全篇」的作用。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第四章  整体图片叙事逻辑总结</w:t>
      </w: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以下表格总结了整张图从引言到总结的叙事链条，以及每个环节对应的展示手法和叙事目的。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800"/>
        <w:gridCol w:w="2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展示手法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叙事目的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核心技巧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引言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大字标题+核心数字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抓眼球，抛出核心结论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倒金字塔结构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概览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折线图+对比表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建立「历史性突破」认知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图感知→表确认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排名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统一模板条形图×4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多维度立体画像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总量→质量→大额→渠道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均件保费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分栏列表+对比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展示市场分层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暖色vs冷色暗示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缴费结构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环形饼图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传达交费偏好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中心标注最大占比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渠道结构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堆叠柱状图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展示渠道格局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饱和色突出主导项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数据看板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仪表盘卡片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提炼核心指标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BI报表风格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深度分析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图文混排长文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升华观点，给出洞察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引用框+高亮关键词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top w:val="single" w:color="2E75B6" w:sz="2" w:space="6"/>
          <w:left w:val="single" w:color="2E75B6" w:sz="2" w:space="8"/>
          <w:bottom w:val="single" w:color="2E75B6" w:sz="2" w:space="6"/>
          <w:right w:val="single" w:color="2E75B6" w:sz="2" w:space="6"/>
        </w:pBdr>
        <w:shd w:fill="EDF2F9" w:val="clear"/>
        <w:spacing w:after="200" w:before="200" w:line="400"/>
        <w:ind w:left="200" w:right="200"/>
        <w:jc w:val="center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26"/>
          <w:szCs w:val="26"/>
        </w:rPr>
        <w:t xml:space="preserve">整张图的底层叙事逻辑：「震惊数字 → 数据验证 → 多维拆解 → 本质洞察」</w:t>
      </w:r>
    </w:p>
    <w:p>
      <w:pPr>
        <w:spacing w:after="80"/>
      </w:pPr>
    </w:p>
    <w:p>
      <w:pPr>
        <w:spacing w:after="120" w:line="36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每一张图的展示方式都在服务于这个叙事链条中的对应环节：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引言用超大字号抛出1,411亿——制造震惊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折线图+表格用历史对比验证增长——建立信任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四个维度的排名条形图层层递进拆解——全面画像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均件保费/缴费/渠道用简单图表快速传递结构特征——降低认知负担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数据看板提炼关键指标——方便转发和传播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WenQuanYi Micro Hei" w:cs="WenQuanYi Micro Hei" w:eastAsia="WenQuanYi Micro Hei" w:hAnsi="WenQuanYi Micro Hei"/>
          <w:color w:val="333333"/>
          <w:sz w:val="22"/>
          <w:szCs w:val="22"/>
        </w:rPr>
        <w:t xml:space="preserve">深度分析文章给出行业洞察——提升内容价值</w:t>
      </w:r>
    </w:p>
    <w:p>
      <w:pPr>
        <w:pBdr>
          <w:bottom w:val="single" w:color="D6E4F0" w:sz="2" w:space="4"/>
        </w:pBdr>
        <w:spacing w:after="200" w:before="200"/>
      </w:pPr>
    </w:p>
    <w:p>
      <w:pPr>
        <w:pStyle w:val="Heading1"/>
        <w:spacing w:after="200" w:before="360"/>
      </w:pPr>
      <w:r>
        <w:rPr>
          <w:rFonts w:ascii="WenQuanYi Micro Hei" w:cs="WenQuanYi Micro Hei" w:eastAsia="WenQuanYi Micro Hei" w:hAnsi="WenQuanYi Micro Hei"/>
          <w:b/>
          <w:bCs/>
          <w:color w:val="1B3A5C"/>
          <w:sz w:val="32"/>
          <w:szCs w:val="32"/>
        </w:rPr>
        <w:t xml:space="preserve">附录：信息图原始结构速查表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章节编号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章节名称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FFFFFF"/>
                <w:sz w:val="20"/>
                <w:szCs w:val="20"/>
              </w:rPr>
              <w:t xml:space="preserve">主要图表类型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引言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标题 + 核心数字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大字号排版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01-1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全港新单保费概览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折线趋势图 + 数据表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01-2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保险公司排名（四维度）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横向条形图×4 + 饼图×4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01-3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均件保费对比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分栏列表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01-4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缴费结构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环形饼图（Donut Chart）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01-5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渠道结构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堆叠柱状图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02-1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核心数据看板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仪表盘卡片 + 气泡图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/>
                <w:bCs/>
                <w:color w:val="333333"/>
                <w:sz w:val="20"/>
                <w:szCs w:val="20"/>
              </w:rPr>
              <w:t xml:space="preserve">02-2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深度分析文章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WenQuanYi Micro Hei" w:cs="WenQuanYi Micro Hei" w:eastAsia="WenQuanYi Micro Hei" w:hAnsi="WenQuanYi Micro Hei"/>
                <w:b w:val="false"/>
                <w:bCs w:val="false"/>
                <w:color w:val="333333"/>
                <w:sz w:val="20"/>
                <w:szCs w:val="20"/>
              </w:rPr>
              <w:t xml:space="preserve">图文混排长文 + 引用框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70" w:bottom="144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WenQuanYi Micro Hei" w:cs="WenQuanYi Micro Hei" w:eastAsia="WenQuanYi Micro Hei" w:hAnsi="WenQuanYi Micro Hei"/>
        <w:color w:val="666666"/>
        <w:sz w:val="18"/>
        <w:szCs w:val="18"/>
      </w:rPr>
      <w:t xml:space="preserve">— 第 </w:t>
    </w:r>
    <w:r>
      <w:rPr>
        <w:rFonts w:ascii="WenQuanYi Micro Hei" w:cs="WenQuanYi Micro Hei" w:eastAsia="WenQuanYi Micro Hei" w:hAnsi="WenQuanYi Micro He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WenQuanYi Micro Hei" w:cs="WenQuanYi Micro Hei" w:eastAsia="WenQuanYi Micro Hei" w:hAnsi="WenQuanYi Micro Hei"/>
        <w:color w:val="666666"/>
        <w:sz w:val="18"/>
        <w:szCs w:val="18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jc w:val="right"/>
    </w:pPr>
    <w:r>
      <w:rPr>
        <w:rFonts w:ascii="WenQuanYi Micro Hei" w:cs="WenQuanYi Micro Hei" w:eastAsia="WenQuanYi Micro Hei" w:hAnsi="WenQuanYi Micro Hei"/>
        <w:i/>
        <w:iCs/>
        <w:color w:val="666666"/>
        <w:sz w:val="18"/>
        <w:szCs w:val="18"/>
      </w:rPr>
      <w:t xml:space="preserve">香港保险2026 Q1 信息图结构分析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WenQuanYi Micro Hei" w:cs="WenQuanYi Micro Hei" w:eastAsia="WenQuanYi Micro Hei" w:hAnsi="WenQuanYi Micro 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WenQuanYi Micro Hei" w:cs="WenQuanYi Micro Hei" w:eastAsia="WenQuanYi Micro Hei" w:hAnsi="WenQuanYi Micro Hei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WenQuanYi Micro Hei" w:cs="WenQuanYi Micro Hei" w:eastAsia="WenQuanYi Micro Hei" w:hAnsi="WenQuanYi Micro He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WenQuanYi Micro Hei" w:cs="WenQuanYi Micro Hei" w:eastAsia="WenQuanYi Micro Hei" w:hAnsi="WenQuanYi Micro Hei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2026-07-30T07:55:57.624Z</dcterms:created>
  <dcterms:modified xsi:type="dcterms:W3CDTF">2026-07-30T07:55:57.625Z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{"Label":"1","ContentProducer":"001191440300708461136T1WFUO","ProduceID":"85bfbd75730451d274b22ef2dc9efde2-dz0o","ReservedCode1":"{\"Type\":\" TC260PG\",\"Version\":1,\"Bindings\":[{\"Type\":\"soft\",\"AlgID\":\"sm3\",\"Value\":\"fa5f919de6323ae42b3bebb5cf082f499c43dbcb8b0f12e667ecd06e7afa73f1\"},{\"Type\":\"hash\",\"AlgID\":\"sm3\",\"Value\":\"1e4afb7c1b80e017df2ad17093a969754de66e221d0221af4609f9749a982a63\"}],\"PubSD\":[{\"Type\":\"DS\",\"AlgID\":\"sm2\",\"TBSData\":{\"Type\":\"Binding\",\"BType\":\"hash\"},\"Signature\":\"3045022079cbabc453d3b2d0f419b0bdd7af69c5379d7b91bf069680eadda6b99772816a022100a6ecaabfa8c4530c97f0dc5cfabe2858f234597e2777bc2c32693eba37bf89f1\"},{\"Type\":\"PubKey\",\"AlgID\":\"sm2\",\"KeyValue\":\"0407f79b28a17a752b3aae4305c98b48978213832729a2571850b1310b2bc9fe8fee039ccf25ebfeac27502414d9fcef792d777183c98893d226171c2f7a3289a2\"}],\"Extension\":{\"Timestamp\":1785398253,\"KeyVersion\":\"v1-TxLeOmf7bqU223\"}}","ContentPropagator":"001191440300708461136T1WFUO","PropagateID":"85bfbd75730451d274b22ef2dc9efde2-dz0o","ReservedCode2":"{\"Type\":\" TC260PG\",\"Version\":1,\"Bindings\":[{\"Type\":\"soft\",\"AlgID\":\"sm3\",\"Value\":\"fa5f919de6323ae42b3bebb5cf082f499c43dbcb8b0f12e667ecd06e7afa73f1\"},{\"Type\":\"hash\",\"AlgID\":\"sm3\",\"Value\":\"1e4afb7c1b80e017df2ad17093a969754de66e221d0221af4609f9749a982a63\"}],\"PubSD\":[{\"Type\":\"DS\",\"AlgID\":\"sm2\",\"TBSData\":{\"Type\":\"Binding\",\"BType\":\"hash\"},\"Signature\":\"3046022100f2c57c1211af3829d2969500bdab714f28c6a791048adf0715844388eba9f9be022100c1425d8deeb220417e63aa36a29e4240c085039b1c0949bb6d73db8dd40b1a00\"},{\"Type\":\"PubKey\",\"AlgID\":\"sm2\",\"KeyValue\":\"0407f79b28a17a752b3aae4305c98b48978213832729a2571850b1310b2bc9fe8fee039ccf25ebfeac27502414d9fcef792d777183c98893d226171c2f7a3289a2\"}],\"Extension\":{\"Timestamp\":1785398253,\"KeyVersion\":\"v1-TxLeOmf7bqU223\"}}"}</vt:lpwstr>
  </property>
</Properties>
</file>