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leave carry-over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Sofie Claes, HR Policy Manager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2026-03-23</w:t>
            </w:r>
          </w:p>
        </w:tc>
      </w:tr>
    </w:tbl>
    <w:p>
      <w:pPr>
        <w:pStyle w:val="Heading1"/>
      </w:pPr>
      <w:r>
        <w:t>Purpose</w:t>
      </w:r>
    </w:p>
    <w:p>
      <w:r>
        <w:t>This policy sets out the rules on annual leave carry-over at Vandenberg Logistics NV.</w:t>
      </w:r>
    </w:p>
    <w:p>
      <w:pPr>
        <w:pStyle w:val="Heading1"/>
      </w:pPr>
      <w:r>
        <w:t>Policy</w:t>
      </w:r>
    </w:p>
    <w:p>
      <w:r>
        <w:t>A maximum of 5 unused vacation days can be carried over and must be taken before 31 March.</w:t>
      </w:r>
    </w:p>
    <w:p>
      <w:pPr>
        <w:pStyle w:val="Heading1"/>
      </w:pPr>
      <w:r>
        <w:t>Conditions</w:t>
      </w:r>
    </w:p>
    <w:p>
      <w:r>
        <w:t>Statutory leave days are handled separately under local law.</w:t>
      </w:r>
    </w:p>
    <w:p>
      <w:pPr>
        <w:pStyle w:val="Heading1"/>
      </w:pPr>
      <w:r>
        <w:t>Validity</w:t>
      </w:r>
    </w:p>
    <w:p>
      <w:r>
        <w:t>Version 3.0, effective 2025-01-01. Supersedes version 1.2 (2022). Approved by the Management Committee.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2022-03-02</w:t>
            </w:r>
          </w:p>
        </w:tc>
        <w:tc>
          <w:tcPr>
            <w:tcW w:type="dxa" w:w="2880"/>
          </w:tcPr>
          <w:p>
            <w:r>
              <w:t>Minor edits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2026-03-23</w:t>
            </w:r>
          </w:p>
        </w:tc>
        <w:tc>
          <w:tcPr>
            <w:tcW w:type="dxa" w:w="2880"/>
          </w:tcPr>
          <w:p>
            <w:r>
              <w:t>Updated values, approved by MC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DOC-04__HR_annual_leave_carry_over_policy_v3.0.docx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leave carry-over Policy</dc:title>
  <dc:subject/>
  <dc:creator>Sofie Claes</dc:creator>
  <cp:keywords/>
  <dc:description>generated by python-docx</dc:description>
  <cp:lastModifiedBy/>
  <cp:revision>1</cp:revision>
  <dcterms:created xsi:type="dcterms:W3CDTF">2026-02-21T15:13:00Z</dcterms:created>
  <dcterms:modified xsi:type="dcterms:W3CDTF">2026-03-23T15:13:00Z</dcterms:modified>
  <cp:category/>
</cp:coreProperties>
</file>