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0"/>
        <w:jc w:val="center"/>
        <w:rPr>
          <w:rFonts w:ascii="Times New Roman" w:hAnsi="Times New Roman" w:eastAsia="Times New Roman" w:cs="Times New Roman"/>
          <w:b/>
        </w:rPr>
      </w:pPr>
      <w:r>
        <w:rPr>
          <w:rFonts w:ascii="Times New Roman" w:hAnsi="Times New Roman" w:eastAsia="Times New Roman" w:cs="Times New Roman"/>
          <w:b/>
          <w:rtl w:val="0"/>
        </w:rPr>
        <w:t>Cross-Body Site Microbial Interactions Influence the Human Plasma Metabolome</w:t>
      </w:r>
    </w:p>
    <w:p w14:paraId="00000002">
      <w:pPr>
        <w:spacing w:after="0" w:line="276" w:lineRule="auto"/>
        <w:ind w:left="0" w:firstLine="0"/>
        <w:jc w:val="left"/>
        <w:rPr>
          <w:rFonts w:ascii="Times New Roman" w:hAnsi="Times New Roman" w:eastAsia="Times New Roman" w:cs="Times New Roman"/>
          <w:b/>
        </w:rPr>
      </w:pPr>
    </w:p>
    <w:p w14:paraId="00000003">
      <w:pPr>
        <w:spacing w:after="0" w:line="276" w:lineRule="auto"/>
        <w:rPr>
          <w:rFonts w:ascii="Times New Roman" w:hAnsi="Times New Roman" w:eastAsia="Times New Roman" w:cs="Times New Roman"/>
        </w:rPr>
      </w:pPr>
      <w:r>
        <w:rPr>
          <w:rFonts w:ascii="Times New Roman" w:hAnsi="Times New Roman" w:eastAsia="Times New Roman" w:cs="Times New Roman"/>
          <w:rtl w:val="0"/>
        </w:rPr>
        <w:t>Jingxiang Zhang</w:t>
      </w:r>
      <w:r>
        <w:rPr>
          <w:rFonts w:ascii="Times New Roman" w:hAnsi="Times New Roman" w:eastAsia="Times New Roman" w:cs="Times New Roman"/>
          <w:vertAlign w:val="superscript"/>
          <w:rtl w:val="0"/>
        </w:rPr>
        <w:t>1,2</w:t>
      </w:r>
      <w:r>
        <w:rPr>
          <w:rFonts w:ascii="Times New Roman" w:hAnsi="Times New Roman" w:eastAsia="Times New Roman" w:cs="Times New Roman"/>
          <w:rtl w:val="0"/>
        </w:rPr>
        <w:t>, Chao Jiang</w:t>
      </w:r>
      <w:r>
        <w:rPr>
          <w:rFonts w:ascii="Times New Roman" w:hAnsi="Times New Roman" w:eastAsia="Times New Roman" w:cs="Times New Roman"/>
          <w:vertAlign w:val="superscript"/>
          <w:rtl w:val="0"/>
        </w:rPr>
        <w:t>3</w:t>
      </w:r>
      <w:r>
        <w:rPr>
          <w:rFonts w:ascii="Times New Roman" w:hAnsi="Times New Roman" w:eastAsia="Times New Roman" w:cs="Times New Roman"/>
          <w:rtl w:val="0"/>
        </w:rPr>
        <w:t>, Xin Zhou</w:t>
      </w:r>
      <w:r>
        <w:rPr>
          <w:rFonts w:ascii="Times New Roman" w:hAnsi="Times New Roman" w:eastAsia="Times New Roman" w:cs="Times New Roman"/>
          <w:vertAlign w:val="superscript"/>
          <w:rtl w:val="0"/>
        </w:rPr>
        <w:t>4</w:t>
      </w:r>
      <w:r>
        <w:rPr>
          <w:rFonts w:ascii="Times New Roman" w:hAnsi="Times New Roman" w:eastAsia="Times New Roman" w:cs="Times New Roman"/>
          <w:rtl w:val="0"/>
        </w:rPr>
        <w:t>, Peng Gao</w:t>
      </w:r>
      <w:r>
        <w:rPr>
          <w:rFonts w:ascii="Times New Roman" w:hAnsi="Times New Roman" w:eastAsia="Times New Roman" w:cs="Times New Roman"/>
          <w:vertAlign w:val="superscript"/>
          <w:rtl w:val="0"/>
        </w:rPr>
        <w:t>5</w:t>
      </w:r>
      <w:r>
        <w:rPr>
          <w:rFonts w:ascii="Times New Roman" w:hAnsi="Times New Roman" w:eastAsia="Times New Roman" w:cs="Times New Roman"/>
          <w:rtl w:val="0"/>
        </w:rPr>
        <w:t>, Sunny Wong</w:t>
      </w:r>
      <w:r>
        <w:rPr>
          <w:rFonts w:ascii="Times New Roman" w:hAnsi="Times New Roman" w:eastAsia="Times New Roman" w:cs="Times New Roman"/>
          <w:vertAlign w:val="superscript"/>
          <w:rtl w:val="0"/>
        </w:rPr>
        <w:t>1</w:t>
      </w:r>
      <w:r>
        <w:rPr>
          <w:rFonts w:ascii="Times New Roman" w:hAnsi="Times New Roman" w:eastAsia="Times New Roman" w:cs="Times New Roman"/>
          <w:rtl w:val="0"/>
        </w:rPr>
        <w:t>, Michael Snyder</w:t>
      </w:r>
      <w:r>
        <w:rPr>
          <w:rFonts w:ascii="Times New Roman" w:hAnsi="Times New Roman" w:eastAsia="Times New Roman" w:cs="Times New Roman"/>
          <w:vertAlign w:val="superscript"/>
          <w:rtl w:val="0"/>
        </w:rPr>
        <w:t>6</w:t>
      </w:r>
      <w:r>
        <w:rPr>
          <w:rFonts w:ascii="Times New Roman" w:hAnsi="Times New Roman" w:eastAsia="Times New Roman" w:cs="Times New Roman"/>
          <w:rtl w:val="0"/>
        </w:rPr>
        <w:t>, Xiaotao Shen</w:t>
      </w:r>
      <w:r>
        <w:rPr>
          <w:rFonts w:ascii="Times New Roman" w:hAnsi="Times New Roman" w:eastAsia="Times New Roman" w:cs="Times New Roman"/>
          <w:vertAlign w:val="superscript"/>
          <w:rtl w:val="0"/>
        </w:rPr>
        <w:t>1,2,7*</w:t>
      </w:r>
    </w:p>
    <w:p w14:paraId="00000004">
      <w:pPr>
        <w:numPr>
          <w:ilvl w:val="0"/>
          <w:numId w:val="1"/>
        </w:numPr>
        <w:spacing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 xml:space="preserve">Lee Kong Chian School of Medicine, Nanyang Technological University, Singapore, Singapore. </w:t>
      </w:r>
    </w:p>
    <w:p w14:paraId="00000005">
      <w:pPr>
        <w:numPr>
          <w:ilvl w:val="0"/>
          <w:numId w:val="1"/>
        </w:numPr>
        <w:spacing w:before="0"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School of Chemistry, Chemical Engineering and Biotechnology, Nanyang Technological University, Singapore, Singapore.</w:t>
      </w:r>
    </w:p>
    <w:p w14:paraId="00000006">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Life Sciences Institute, Zhejiang University, Hangzhou, Zhejiang, China.</w:t>
      </w:r>
    </w:p>
    <w:p w14:paraId="00000007">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Intelligent Medicine Institute, Fudan Microbiome Center, Fudan University Shanghai Medical College, Fudan University, Shanghai, China.</w:t>
      </w:r>
    </w:p>
    <w:p w14:paraId="00000008">
      <w:pPr>
        <w:numPr>
          <w:ilvl w:val="0"/>
          <w:numId w:val="1"/>
        </w:numPr>
        <w:ind w:left="720" w:hanging="360"/>
        <w:jc w:val="both"/>
        <w:rPr>
          <w:rFonts w:ascii="Times New Roman" w:hAnsi="Times New Roman" w:eastAsia="Times New Roman" w:cs="Times New Roman"/>
        </w:rPr>
      </w:pPr>
      <w:r>
        <w:rPr>
          <w:rFonts w:ascii="Times New Roman" w:hAnsi="Times New Roman" w:eastAsia="Times New Roman" w:cs="Times New Roman"/>
          <w:rtl w:val="0"/>
        </w:rPr>
        <w:t>Department of Environmental Health and Department of Molecular Metabolism, Harvard T.H. Chan School of Public Health, Boston, MA, USA.</w:t>
      </w:r>
    </w:p>
    <w:p w14:paraId="00000009">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Department of Genetics, Stanford School of Medicine, Palo Alto, CA, USA.</w:t>
      </w:r>
    </w:p>
    <w:p w14:paraId="0000000A">
      <w:pPr>
        <w:numPr>
          <w:ilvl w:val="0"/>
          <w:numId w:val="1"/>
        </w:numPr>
        <w:spacing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Singapore Phenome Center, Nanyang Technological University, Singapore, Singapore.</w:t>
      </w:r>
    </w:p>
    <w:p w14:paraId="0000000B">
      <w:pPr>
        <w:spacing w:after="0" w:line="276" w:lineRule="auto"/>
        <w:jc w:val="both"/>
        <w:rPr>
          <w:rFonts w:ascii="Times New Roman" w:hAnsi="Times New Roman" w:eastAsia="Times New Roman" w:cs="Times New Roman"/>
        </w:rPr>
      </w:pPr>
    </w:p>
    <w:p w14:paraId="0000000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Corresponding author: Xiaotao Shen (</w:t>
      </w:r>
      <w:r>
        <w:fldChar w:fldCharType="begin"/>
      </w:r>
      <w:r>
        <w:instrText xml:space="preserve"> HYPERLINK "mailto:xiaotao.shen@ntu.edu.sg" \h </w:instrText>
      </w:r>
      <w:r>
        <w:fldChar w:fldCharType="separate"/>
      </w:r>
      <w:r>
        <w:rPr>
          <w:rFonts w:ascii="Times New Roman" w:hAnsi="Times New Roman" w:eastAsia="Times New Roman" w:cs="Times New Roman"/>
          <w:color w:val="1155CC"/>
          <w:u w:val="single"/>
          <w:rtl w:val="0"/>
        </w:rPr>
        <w:t>xiaotao.shen@ntu.edu.sg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0D">
      <w:pPr>
        <w:spacing w:after="0" w:line="276" w:lineRule="auto"/>
        <w:jc w:val="both"/>
        <w:rPr>
          <w:rFonts w:ascii="Times New Roman" w:hAnsi="Times New Roman" w:eastAsia="Times New Roman" w:cs="Times New Roman"/>
        </w:rPr>
      </w:pPr>
    </w:p>
    <w:p w14:paraId="0000000E">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Highlights</w:t>
      </w:r>
    </w:p>
    <w:p w14:paraId="0000000F">
      <w:pPr>
        <w:numPr>
          <w:ilvl w:val="0"/>
          <w:numId w:val="2"/>
        </w:numPr>
        <w:spacing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Microbiomes from gut, oral, skin, and nasal sites collectively explain 33.25% of plasma metabolome variation</w:t>
      </w:r>
    </w:p>
    <w:p w14:paraId="00000010">
      <w:pPr>
        <w:numPr>
          <w:ilvl w:val="0"/>
          <w:numId w:val="2"/>
        </w:numPr>
        <w:ind w:left="720" w:hanging="360"/>
        <w:jc w:val="both"/>
        <w:rPr>
          <w:rFonts w:ascii="Times New Roman" w:hAnsi="Times New Roman" w:eastAsia="Times New Roman" w:cs="Times New Roman"/>
        </w:rPr>
      </w:pPr>
      <w:r>
        <w:rPr>
          <w:rFonts w:ascii="Times New Roman" w:hAnsi="Times New Roman" w:eastAsia="Times New Roman" w:cs="Times New Roman"/>
          <w:rtl w:val="0"/>
        </w:rPr>
        <w:t>Over 60% of circulating metabolites are co-regulated by microbiota from multiple body sites</w:t>
      </w:r>
    </w:p>
    <w:p w14:paraId="00000011">
      <w:pPr>
        <w:numPr>
          <w:ilvl w:val="0"/>
          <w:numId w:val="2"/>
        </w:numPr>
        <w:ind w:left="720" w:hanging="360"/>
        <w:jc w:val="both"/>
        <w:rPr>
          <w:rFonts w:ascii="Times New Roman" w:hAnsi="Times New Roman" w:eastAsia="Times New Roman" w:cs="Times New Roman"/>
        </w:rPr>
      </w:pPr>
      <w:r>
        <w:rPr>
          <w:rFonts w:ascii="Times New Roman" w:hAnsi="Times New Roman" w:eastAsia="Times New Roman" w:cs="Times New Roman"/>
          <w:rtl w:val="0"/>
        </w:rPr>
        <w:t>Oral and gut microbiomes synergistically modulate key circulating metabolites, forming a cross-body metabolic axis</w:t>
      </w:r>
    </w:p>
    <w:p w14:paraId="00000012">
      <w:pPr>
        <w:numPr>
          <w:ilvl w:val="0"/>
          <w:numId w:val="2"/>
        </w:numPr>
        <w:ind w:left="720" w:hanging="360"/>
        <w:jc w:val="both"/>
        <w:rPr>
          <w:rFonts w:ascii="Times New Roman" w:hAnsi="Times New Roman" w:eastAsia="Times New Roman" w:cs="Times New Roman"/>
        </w:rPr>
      </w:pPr>
      <w:r>
        <w:rPr>
          <w:rFonts w:ascii="Times New Roman" w:hAnsi="Times New Roman" w:eastAsia="Times New Roman" w:cs="Times New Roman"/>
          <w:rtl w:val="0"/>
        </w:rPr>
        <w:t>The oral-gut microbiome-metabolome axis is functionally enhanced in insulin resistance, linking cross-body site microbial interactions to metabolic dysregulation</w:t>
      </w:r>
    </w:p>
    <w:p w14:paraId="00000013">
      <w:pPr>
        <w:jc w:val="both"/>
        <w:rPr>
          <w:rFonts w:ascii="Times New Roman" w:hAnsi="Times New Roman" w:eastAsia="Times New Roman" w:cs="Times New Roman"/>
          <w:b/>
        </w:rPr>
      </w:pPr>
    </w:p>
    <w:p w14:paraId="00000014">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Summary</w:t>
      </w:r>
    </w:p>
    <w:p w14:paraId="008CF7E4">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human microbiome significantly influences the plasma metabolome and health, yet most studies focus on the gut alone. Here, we analyze how microbiomes across body sites collectively affect plasma metabolites. Using data from three human cohorts (n = 435), we show that gut, oral, skin, and nasal microbiomes together explain 33.25% of inter-individual variation in 814 metabolites, with the gut contributing most (18.04%), followed by oral (13.35%), skin (9.07%), and nasal (5.82%). Notably, distinct microbial compositions can yield similar metabolic effects, particularly along the oral-gut axis. Machine learning and mediation models reveal widespread cooperative interactions across sites, with 61.8% of metabolites jointly influenced by multiple microbiomes. This cross-site microbial synergy is amplified in insulin resistance, linking enhanced cooperation to metabolic dysregulation. Our findings highlight the systemic and interactive nature of microbiome-metabolome relationships, underscoring the importance of integrating multiple microbial ecosystems to better understand host metabolic regulation and disease mechanisms.</w:t>
      </w:r>
    </w:p>
    <w:p w14:paraId="57CB0F9F">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00000016">
      <w:pPr>
        <w:spacing w:after="0" w:line="276" w:lineRule="auto"/>
        <w:ind w:left="0" w:firstLine="0"/>
        <w:jc w:val="both"/>
        <w:rPr>
          <w:rFonts w:ascii="Times New Roman" w:hAnsi="Times New Roman" w:eastAsia="Times New Roman" w:cs="Times New Roman"/>
          <w:b/>
        </w:rPr>
      </w:pPr>
      <w:r>
        <w:rPr>
          <w:rFonts w:ascii="Times New Roman" w:hAnsi="Times New Roman" w:eastAsia="Times New Roman" w:cs="Times New Roman"/>
          <w:b/>
          <w:rtl w:val="0"/>
        </w:rPr>
        <w:t>Keywords: Microbiome, Plasma Metabolome, Oral-Gut Axis, Synergistic Effects, Multi-omics Integration, Insulin Resistance</w:t>
      </w:r>
    </w:p>
    <w:p w14:paraId="00000017">
      <w:pPr>
        <w:spacing w:after="0" w:line="276" w:lineRule="auto"/>
        <w:ind w:left="0" w:firstLine="0"/>
        <w:jc w:val="both"/>
        <w:rPr>
          <w:rFonts w:ascii="Times New Roman" w:hAnsi="Times New Roman" w:eastAsia="Times New Roman" w:cs="Times New Roman"/>
        </w:rPr>
      </w:pPr>
    </w:p>
    <w:p w14:paraId="2ADE18C2">
      <w:pPr>
        <w:spacing w:after="0" w:line="276" w:lineRule="auto"/>
        <w:ind w:left="0" w:firstLine="0"/>
        <w:jc w:val="both"/>
        <w:rPr>
          <w:rFonts w:ascii="Times New Roman" w:hAnsi="Times New Roman" w:eastAsia="Times New Roman" w:cs="Times New Roman"/>
        </w:rPr>
      </w:pPr>
      <w:bookmarkStart w:id="0" w:name="_GoBack"/>
      <w:bookmarkEnd w:id="0"/>
    </w:p>
    <w:p w14:paraId="00000018">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Introduction</w:t>
      </w:r>
    </w:p>
    <w:p w14:paraId="00000019">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The human microbiome, composed of trillions of microorganisms residing across diverse body sites, is increasingly recognized as one of the central regulators of host physiology and metabolism</w:t>
      </w:r>
      <w:r>
        <w:fldChar w:fldCharType="begin"/>
      </w:r>
      <w:r>
        <w:instrText xml:space="preserve"> HYPERLINK "https://www.zotero.org/google-docs/?x0fEHn" \h </w:instrText>
      </w:r>
      <w:r>
        <w:fldChar w:fldCharType="separate"/>
      </w:r>
      <w:r>
        <w:rPr>
          <w:rFonts w:ascii="Times New Roman" w:hAnsi="Times New Roman" w:eastAsia="Times New Roman" w:cs="Times New Roman"/>
          <w:shd w:val="clear" w:fill="auto"/>
          <w:vertAlign w:val="superscript"/>
          <w:rtl w:val="0"/>
        </w:rPr>
        <w:t>1–3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Among these microbial communities, the gut microbiome has been most extensively studied, with substantial evidence linking it to circulating metabolites and systemic metabolic phenotypes such as obesity, IR, and inflammation</w:t>
      </w:r>
      <w:r>
        <w:fldChar w:fldCharType="begin"/>
      </w:r>
      <w:r>
        <w:instrText xml:space="preserve"> HYPERLINK "https://www.zotero.org/google-docs/?u6zVGC" \h </w:instrText>
      </w:r>
      <w:r>
        <w:fldChar w:fldCharType="separate"/>
      </w:r>
      <w:r>
        <w:rPr>
          <w:rFonts w:ascii="Times New Roman" w:hAnsi="Times New Roman" w:eastAsia="Times New Roman" w:cs="Times New Roman"/>
          <w:shd w:val="clear" w:fill="auto"/>
          <w:vertAlign w:val="superscript"/>
          <w:rtl w:val="0"/>
        </w:rPr>
        <w:t>4–6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These insights, along with other studies, have established the gut microbiome as a significant contributor to host metabolic homeostasis</w:t>
      </w:r>
      <w:r>
        <w:fldChar w:fldCharType="begin"/>
      </w:r>
      <w:r>
        <w:instrText xml:space="preserve"> HYPERLINK "https://www.zotero.org/google-docs/?WzxlGX" \h </w:instrText>
      </w:r>
      <w:r>
        <w:fldChar w:fldCharType="separate"/>
      </w:r>
      <w:r>
        <w:rPr>
          <w:rFonts w:ascii="Times New Roman" w:hAnsi="Times New Roman" w:eastAsia="Times New Roman" w:cs="Times New Roman"/>
          <w:shd w:val="clear" w:fill="auto"/>
          <w:vertAlign w:val="superscript"/>
          <w:rtl w:val="0"/>
        </w:rPr>
        <w:t>7,8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However, the human body harbors other large and ecologically distinct microbial ecosystems, such as those in the oral cavity, nasal cavity, and on the skin, that are less well characterized in terms of their contributions to host systemic metabolism.</w:t>
      </w:r>
    </w:p>
    <w:p w14:paraId="0000001A">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Emerging evidence suggests that these non-gut microbiomes may also influence host physiology beyond their local environments</w:t>
      </w:r>
      <w:r>
        <w:fldChar w:fldCharType="begin"/>
      </w:r>
      <w:r>
        <w:instrText xml:space="preserve"> HYPERLINK "https://www.zotero.org/google-docs/?OGrP1g" \h </w:instrText>
      </w:r>
      <w:r>
        <w:fldChar w:fldCharType="separate"/>
      </w:r>
      <w:r>
        <w:rPr>
          <w:rFonts w:ascii="Times New Roman" w:hAnsi="Times New Roman" w:eastAsia="Times New Roman" w:cs="Times New Roman"/>
          <w:shd w:val="clear" w:fill="auto"/>
          <w:vertAlign w:val="superscript"/>
          <w:rtl w:val="0"/>
        </w:rPr>
        <w:t>9–11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For example, oral and nasal microbiomes have been implicated in respiratory diseases and cardiovascular risk</w:t>
      </w:r>
      <w:r>
        <w:fldChar w:fldCharType="begin"/>
      </w:r>
      <w:r>
        <w:instrText xml:space="preserve"> HYPERLINK "https://www.zotero.org/google-docs/?TYAk3w" \h </w:instrText>
      </w:r>
      <w:r>
        <w:fldChar w:fldCharType="separate"/>
      </w:r>
      <w:r>
        <w:rPr>
          <w:rFonts w:ascii="Times New Roman" w:hAnsi="Times New Roman" w:eastAsia="Times New Roman" w:cs="Times New Roman"/>
          <w:shd w:val="clear" w:fill="auto"/>
          <w:vertAlign w:val="superscript"/>
          <w:rtl w:val="0"/>
        </w:rPr>
        <w:t>12,13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skin microbes are known to participate in immune modulation</w:t>
      </w:r>
      <w:r>
        <w:fldChar w:fldCharType="begin"/>
      </w:r>
      <w:r>
        <w:instrText xml:space="preserve"> HYPERLINK "https://www.zotero.org/google-docs/?AFndEz" \h </w:instrText>
      </w:r>
      <w:r>
        <w:fldChar w:fldCharType="separate"/>
      </w:r>
      <w:r>
        <w:rPr>
          <w:rFonts w:ascii="Times New Roman" w:hAnsi="Times New Roman" w:eastAsia="Times New Roman" w:cs="Times New Roman"/>
          <w:shd w:val="clear" w:fill="auto"/>
          <w:vertAlign w:val="superscript"/>
          <w:rtl w:val="0"/>
        </w:rPr>
        <w:t>14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Despite this, the influence of microbiomes from these non-gut sites on the human plasma metabolome and their subsequent effects on human health remain poorly understood. It also remains unclear whether microbial communities from different body sites act independently or interactively to influence systemic metabolic profiles.</w:t>
      </w:r>
    </w:p>
    <w:p w14:paraId="0000001B">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This gap is particularly important given the growing recognition that microbial ecosystems across the human body sites may not function in isolation</w:t>
      </w:r>
      <w:r>
        <w:fldChar w:fldCharType="begin"/>
      </w:r>
      <w:r>
        <w:instrText xml:space="preserve"> HYPERLINK "https://www.zotero.org/google-docs/?s4rdQH" \h </w:instrText>
      </w:r>
      <w:r>
        <w:fldChar w:fldCharType="separate"/>
      </w:r>
      <w:r>
        <w:rPr>
          <w:rFonts w:ascii="Times New Roman" w:hAnsi="Times New Roman" w:eastAsia="Times New Roman" w:cs="Times New Roman"/>
          <w:shd w:val="clear" w:fill="auto"/>
          <w:vertAlign w:val="superscript"/>
          <w:rtl w:val="0"/>
        </w:rPr>
        <w:t>15,16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Anatomically connected sites, such as the oral cavity and gut, engage in microbial “crosstalk,” potentially enabling cooperative or sequential processing of dietary and host-derived substrates</w:t>
      </w:r>
      <w:r>
        <w:fldChar w:fldCharType="begin"/>
      </w:r>
      <w:r>
        <w:instrText xml:space="preserve"> HYPERLINK "https://www.zotero.org/google-docs/?PJTyxN" \h </w:instrText>
      </w:r>
      <w:r>
        <w:fldChar w:fldCharType="separate"/>
      </w:r>
      <w:r>
        <w:rPr>
          <w:rFonts w:ascii="Times New Roman" w:hAnsi="Times New Roman" w:eastAsia="Times New Roman" w:cs="Times New Roman"/>
          <w:shd w:val="clear" w:fill="auto"/>
          <w:vertAlign w:val="superscript"/>
          <w:rtl w:val="0"/>
        </w:rPr>
        <w:t>17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For instance, dietary tryptophan may be metabolized into indole derivatives by the oral microbiome and further transformed by the gut microbiome into circulating metabolites with immunomodulatory properties</w:t>
      </w:r>
      <w:r>
        <w:fldChar w:fldCharType="begin"/>
      </w:r>
      <w:r>
        <w:instrText xml:space="preserve"> HYPERLINK "https://www.zotero.org/google-docs/?vnq5qs" \h </w:instrText>
      </w:r>
      <w:r>
        <w:fldChar w:fldCharType="separate"/>
      </w:r>
      <w:r>
        <w:rPr>
          <w:rFonts w:ascii="Times New Roman" w:hAnsi="Times New Roman" w:eastAsia="Times New Roman" w:cs="Times New Roman"/>
          <w:shd w:val="clear" w:fill="auto"/>
          <w:vertAlign w:val="superscript"/>
          <w:rtl w:val="0"/>
        </w:rPr>
        <w:t>18,19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While previous studies have suggested that the oral microbiome can influence gut microbial composition or function</w:t>
      </w:r>
      <w:r>
        <w:fldChar w:fldCharType="begin"/>
      </w:r>
      <w:r>
        <w:instrText xml:space="preserve"> HYPERLINK "https://www.zotero.org/google-docs/?NrimKv" \h </w:instrText>
      </w:r>
      <w:r>
        <w:fldChar w:fldCharType="separate"/>
      </w:r>
      <w:r>
        <w:rPr>
          <w:rFonts w:ascii="Times New Roman" w:hAnsi="Times New Roman" w:eastAsia="Times New Roman" w:cs="Times New Roman"/>
          <w:shd w:val="clear" w:fill="auto"/>
          <w:vertAlign w:val="superscript"/>
          <w:rtl w:val="0"/>
        </w:rPr>
        <w:t>20,21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the potential for coordinated microbial metabolism across body sites remains largely unproven.</w:t>
      </w:r>
    </w:p>
    <w:p w14:paraId="0000001C">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To address these knowledge gaps, we conducted an integrative multi-omics study to systematically characterize how microbiomes from multiple body sites influence the human plasma metabolome. We analyzed data from three independent human cohorts, including one discovery cohort with matched microbiome data from the gut, oral cavity, nasal cavity, and skin, along with paired plasma metabolomics data</w:t>
      </w:r>
      <w:r>
        <w:fldChar w:fldCharType="begin"/>
      </w:r>
      <w:r>
        <w:instrText xml:space="preserve"> HYPERLINK "https://www.zotero.org/google-docs/?LxT61k" \h </w:instrText>
      </w:r>
      <w:r>
        <w:fldChar w:fldCharType="separate"/>
      </w:r>
      <w:r>
        <w:rPr>
          <w:rFonts w:ascii="Times New Roman" w:hAnsi="Times New Roman" w:eastAsia="Times New Roman" w:cs="Times New Roman"/>
          <w:shd w:val="clear" w:fill="auto"/>
          <w:vertAlign w:val="superscript"/>
          <w:rtl w:val="0"/>
        </w:rPr>
        <w:t>22–24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Two additional validation cohorts with gut and/or oral microbiome data were used to confirm key findings</w:t>
      </w:r>
      <w:r>
        <w:fldChar w:fldCharType="begin"/>
      </w:r>
      <w:r>
        <w:instrText xml:space="preserve"> HYPERLINK "https://www.zotero.org/google-docs/?RIUpNQ" \h </w:instrText>
      </w:r>
      <w:r>
        <w:fldChar w:fldCharType="separate"/>
      </w:r>
      <w:r>
        <w:rPr>
          <w:rFonts w:ascii="Times New Roman" w:hAnsi="Times New Roman" w:eastAsia="Times New Roman" w:cs="Times New Roman"/>
          <w:shd w:val="clear" w:fill="auto"/>
          <w:vertAlign w:val="superscript"/>
          <w:rtl w:val="0"/>
        </w:rPr>
        <w:t>25,26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 quantitatively assessed the individual and joint contributions of microbiomes from different body sites to circulating metabolite levels after correction for age, sex, BMI, and ethnicity using machine learning methods, including gradient boosted decision trees (GBDTs), combined with metabolite variance decomposition, cross-body site microbial interaction modeling, and mediation analysis.</w:t>
      </w:r>
    </w:p>
    <w:p w14:paraId="0000001D">
      <w:pPr>
        <w:spacing w:after="0" w:line="276" w:lineRule="auto"/>
        <w:ind w:left="0" w:firstLine="720"/>
        <w:jc w:val="both"/>
        <w:rPr>
          <w:rFonts w:ascii="Times New Roman" w:hAnsi="Times New Roman" w:eastAsia="Times New Roman" w:cs="Times New Roman"/>
          <w:highlight w:val="none"/>
        </w:rPr>
      </w:pPr>
      <w:r>
        <w:rPr>
          <w:rFonts w:ascii="Times New Roman" w:hAnsi="Times New Roman" w:eastAsia="Times New Roman" w:cs="Times New Roman"/>
          <w:rtl w:val="0"/>
        </w:rPr>
        <w:t>We hypothesized that microbiomes from different body sites, particularly the oral and gut microbiomes, cooperatively regulate the plasma metabolome via synergistic and potentially sequential metabolic processes. Specifically, we sought to answer the following questions: (1) Which microbiomes, by body site, contribute most strongly to inter-individual variation of the plasma metabolome? (2) Do microbiomes from different body sites interact synergistically to co-regulate specific circulating metabolites? (3) Can directional microbial processing across body sites, particularly from the oral to the gut, be demonstrated via mediation modeling? (4) What are the broader biological implications of multiple body site microbial cooperation for systemic host metabolism and metabolic dise</w:t>
      </w:r>
      <w:r>
        <w:rPr>
          <w:rFonts w:ascii="Times New Roman" w:hAnsi="Times New Roman" w:eastAsia="Times New Roman" w:cs="Times New Roman"/>
          <w:highlight w:val="none"/>
          <w:rtl w:val="0"/>
        </w:rPr>
        <w:t>ase? By addressing these questions, our study uncovers novel insights into the systemic and cooperative roles of the human microbiome across multiple body sites, highlighting how host-microbiome interactions transcend individual niches to collectively shape human metabolic health. To our knowledge, this is the first comprehensive investigation to demonstrate how microbiomes from distinct body sites jointly influence the human plasma metabolome.</w:t>
      </w:r>
    </w:p>
    <w:p w14:paraId="0000001E">
      <w:pPr>
        <w:spacing w:after="0" w:line="276" w:lineRule="auto"/>
        <w:ind w:left="0" w:firstLine="720"/>
        <w:jc w:val="both"/>
        <w:rPr>
          <w:rFonts w:ascii="Times New Roman" w:hAnsi="Times New Roman" w:eastAsia="Times New Roman" w:cs="Times New Roman"/>
          <w:highlight w:val="none"/>
        </w:rPr>
      </w:pPr>
    </w:p>
    <w:p w14:paraId="0000001F">
      <w:pPr>
        <w:spacing w:after="0" w:line="276" w:lineRule="auto"/>
        <w:jc w:val="both"/>
        <w:rPr>
          <w:rFonts w:ascii="Times New Roman" w:hAnsi="Times New Roman" w:eastAsia="Times New Roman" w:cs="Times New Roman"/>
          <w:b/>
          <w:highlight w:val="none"/>
        </w:rPr>
      </w:pPr>
      <w:r>
        <w:rPr>
          <w:rFonts w:ascii="Times New Roman" w:hAnsi="Times New Roman" w:eastAsia="Times New Roman" w:cs="Times New Roman"/>
          <w:b/>
          <w:highlight w:val="none"/>
          <w:rtl w:val="0"/>
        </w:rPr>
        <w:t>Results</w:t>
      </w:r>
    </w:p>
    <w:p w14:paraId="00000020">
      <w:pPr>
        <w:spacing w:after="0" w:line="276" w:lineRule="auto"/>
        <w:jc w:val="both"/>
        <w:rPr>
          <w:rFonts w:ascii="Times New Roman" w:hAnsi="Times New Roman" w:eastAsia="Times New Roman" w:cs="Times New Roman"/>
          <w:b/>
          <w:highlight w:val="none"/>
        </w:rPr>
      </w:pPr>
      <w:r>
        <w:rPr>
          <w:rFonts w:ascii="Times New Roman" w:hAnsi="Times New Roman" w:eastAsia="Times New Roman" w:cs="Times New Roman"/>
          <w:b/>
          <w:highlight w:val="none"/>
          <w:rtl w:val="0"/>
        </w:rPr>
        <w:t>Microbiomes from Different Body Sites Show Selective and Non-Compositional Influences on the Plasma Metabolome</w:t>
      </w:r>
    </w:p>
    <w:p w14:paraId="00000021">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highlight w:val="none"/>
          <w:rtl w:val="0"/>
        </w:rPr>
        <w:t>To investigate the relationship between the microbiomes from multiple body sites and human plasma metabolome, we analyzed data from three independent human cohorts with varying levels of multi-omics resolution (</w:t>
      </w:r>
      <w:r>
        <w:rPr>
          <w:rFonts w:ascii="Times New Roman" w:hAnsi="Times New Roman" w:eastAsia="Times New Roman" w:cs="Times New Roman"/>
          <w:b/>
          <w:highlight w:val="none"/>
          <w:rtl w:val="0"/>
        </w:rPr>
        <w:t>Methods</w:t>
      </w:r>
      <w:r>
        <w:rPr>
          <w:rFonts w:ascii="Times New Roman" w:hAnsi="Times New Roman" w:eastAsia="Times New Roman" w:cs="Times New Roman"/>
          <w:highlight w:val="none"/>
          <w:rtl w:val="0"/>
        </w:rPr>
        <w:t>). The discovery cohort included 108 participants with matched microbiome data from four body sites, namely the gut, oral cavity, nasal cavity, and skin, along with paired plasma metabolome data</w:t>
      </w:r>
      <w:r>
        <w:rPr>
          <w:highlight w:val="none"/>
        </w:rPr>
        <w:fldChar w:fldCharType="begin"/>
      </w:r>
      <w:r>
        <w:rPr>
          <w:highlight w:val="none"/>
        </w:rPr>
        <w:instrText xml:space="preserve"> HYPERLINK "https://www.zotero.org/google-docs/?LsAGWb" \h </w:instrText>
      </w:r>
      <w:r>
        <w:rPr>
          <w:highlight w:val="none"/>
        </w:rPr>
        <w:fldChar w:fldCharType="separate"/>
      </w:r>
      <w:r>
        <w:rPr>
          <w:rFonts w:ascii="Times New Roman" w:hAnsi="Times New Roman" w:eastAsia="Times New Roman" w:cs="Times New Roman"/>
          <w:highlight w:val="none"/>
          <w:shd w:val="clear" w:fill="auto"/>
          <w:vertAlign w:val="superscript"/>
          <w:rtl w:val="0"/>
        </w:rPr>
        <w:t>22–24</w:t>
      </w:r>
      <w:r>
        <w:rPr>
          <w:rFonts w:ascii="Times New Roman" w:hAnsi="Times New Roman" w:eastAsia="Times New Roman" w:cs="Times New Roman"/>
          <w:highlight w:val="none"/>
          <w:shd w:val="clear" w:fill="auto"/>
          <w:vertAlign w:val="superscript"/>
          <w:rtl w:val="0"/>
        </w:rPr>
        <w:fldChar w:fldCharType="end"/>
      </w:r>
      <w:r>
        <w:rPr>
          <w:rFonts w:ascii="Times New Roman" w:hAnsi="Times New Roman" w:eastAsia="Times New Roman" w:cs="Times New Roman"/>
          <w:highlight w:val="none"/>
          <w:rtl w:val="0"/>
        </w:rPr>
        <w:t xml:space="preserve"> (</w:t>
      </w:r>
      <w:r>
        <w:rPr>
          <w:rFonts w:ascii="Times New Roman" w:hAnsi="Times New Roman" w:eastAsia="Times New Roman" w:cs="Times New Roman"/>
          <w:b/>
          <w:highlight w:val="none"/>
          <w:rtl w:val="0"/>
        </w:rPr>
        <w:t>Fig. 1a</w:t>
      </w:r>
      <w:r>
        <w:rPr>
          <w:rFonts w:ascii="Times New Roman" w:hAnsi="Times New Roman" w:eastAsia="Times New Roman" w:cs="Times New Roman"/>
          <w:highlight w:val="none"/>
          <w:rtl w:val="0"/>
        </w:rPr>
        <w:t>). To our knowledge, this is the only human cohort currently available that provides integrated plasma metabolome and microbiome data from these four major body sites. Validation cohort 1 included 200 participants with gut and oral microbiome and plasma metabolome data</w:t>
      </w:r>
      <w:r>
        <w:rPr>
          <w:highlight w:val="none"/>
        </w:rPr>
        <w:fldChar w:fldCharType="begin"/>
      </w:r>
      <w:r>
        <w:rPr>
          <w:highlight w:val="none"/>
        </w:rPr>
        <w:instrText xml:space="preserve"> HYPERLINK "https://www.zotero.org/google-docs/?sRBJDm" \h </w:instrText>
      </w:r>
      <w:r>
        <w:rPr>
          <w:highlight w:val="none"/>
        </w:rPr>
        <w:fldChar w:fldCharType="separate"/>
      </w:r>
      <w:r>
        <w:rPr>
          <w:rFonts w:ascii="Times New Roman" w:hAnsi="Times New Roman" w:eastAsia="Times New Roman" w:cs="Times New Roman"/>
          <w:highlight w:val="none"/>
          <w:shd w:val="clear" w:fill="auto"/>
          <w:vertAlign w:val="superscript"/>
          <w:rtl w:val="0"/>
        </w:rPr>
        <w:t>25</w:t>
      </w:r>
      <w:r>
        <w:rPr>
          <w:rFonts w:ascii="Times New Roman" w:hAnsi="Times New Roman" w:eastAsia="Times New Roman" w:cs="Times New Roman"/>
          <w:highlight w:val="none"/>
          <w:shd w:val="clear" w:fill="auto"/>
          <w:vertAlign w:val="superscript"/>
          <w:rtl w:val="0"/>
        </w:rPr>
        <w:fldChar w:fldCharType="end"/>
      </w:r>
      <w:r>
        <w:rPr>
          <w:rFonts w:ascii="Times New Roman" w:hAnsi="Times New Roman" w:eastAsia="Times New Roman" w:cs="Times New Roman"/>
          <w:highlight w:val="none"/>
          <w:rtl w:val="0"/>
        </w:rPr>
        <w:t xml:space="preserve">, while validation cohort 2 included 127 participants with gut microbiome and plasma metabolome </w:t>
      </w:r>
      <w:r>
        <w:rPr>
          <w:rFonts w:ascii="Times New Roman" w:hAnsi="Times New Roman" w:eastAsia="Times New Roman" w:cs="Times New Roman"/>
          <w:rtl w:val="0"/>
        </w:rPr>
        <w:t>data</w:t>
      </w:r>
      <w:r>
        <w:fldChar w:fldCharType="begin"/>
      </w:r>
      <w:r>
        <w:instrText xml:space="preserve"> HYPERLINK "https://www.zotero.org/google-docs/?GbIBQv" \h </w:instrText>
      </w:r>
      <w:r>
        <w:fldChar w:fldCharType="separate"/>
      </w:r>
      <w:r>
        <w:rPr>
          <w:rFonts w:ascii="Times New Roman" w:hAnsi="Times New Roman" w:eastAsia="Times New Roman" w:cs="Times New Roman"/>
          <w:shd w:val="clear" w:fill="auto"/>
          <w:vertAlign w:val="superscript"/>
          <w:rtl w:val="0"/>
        </w:rPr>
        <w:t>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The demographic characteristics of the discovery cohort and validation cohort 2 are summarized in </w:t>
      </w:r>
      <w:r>
        <w:rPr>
          <w:rFonts w:ascii="Times New Roman" w:hAnsi="Times New Roman" w:eastAsia="Times New Roman" w:cs="Times New Roman"/>
          <w:b/>
          <w:rtl w:val="0"/>
        </w:rPr>
        <w:t>Supplementary Fig. 1a,b</w:t>
      </w:r>
      <w:r>
        <w:rPr>
          <w:rFonts w:ascii="Times New Roman" w:hAnsi="Times New Roman" w:eastAsia="Times New Roman" w:cs="Times New Roman"/>
          <w:rtl w:val="0"/>
        </w:rPr>
        <w:t xml:space="preserve">, and provided in </w:t>
      </w:r>
      <w:r>
        <w:rPr>
          <w:rFonts w:ascii="Times New Roman" w:hAnsi="Times New Roman" w:eastAsia="Times New Roman" w:cs="Times New Roman"/>
          <w:b/>
          <w:rtl w:val="0"/>
        </w:rPr>
        <w:t>Supplementary Table 1</w:t>
      </w:r>
      <w:r>
        <w:rPr>
          <w:rFonts w:ascii="Times New Roman" w:hAnsi="Times New Roman" w:eastAsia="Times New Roman" w:cs="Times New Roman"/>
          <w:rtl w:val="0"/>
        </w:rPr>
        <w:t>.</w:t>
      </w:r>
    </w:p>
    <w:p w14:paraId="00000022">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In the discovery cohort, 814 circulating metabolites were detected using LC-MS/MS across diverse metabolite classes (</w:t>
      </w:r>
      <w:r>
        <w:rPr>
          <w:rFonts w:ascii="Times New Roman" w:hAnsi="Times New Roman" w:eastAsia="Times New Roman" w:cs="Times New Roman"/>
          <w:b/>
          <w:rtl w:val="0"/>
        </w:rPr>
        <w:t>Fig. 1b</w:t>
      </w:r>
      <w:r>
        <w:rPr>
          <w:rFonts w:ascii="Times New Roman" w:hAnsi="Times New Roman" w:eastAsia="Times New Roman" w:cs="Times New Roman"/>
          <w:rtl w:val="0"/>
        </w:rPr>
        <w:t>). The most prevalent categories included carboxylic acids and derivatives (166, 20.39%), fatty acyls (115, 14.13%), and glycerophospholipids (64, 7.86%)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2</w:t>
      </w:r>
      <w:r>
        <w:rPr>
          <w:rFonts w:ascii="Times New Roman" w:hAnsi="Times New Roman" w:eastAsia="Times New Roman" w:cs="Times New Roman"/>
          <w:rtl w:val="0"/>
        </w:rPr>
        <w:t>). Notably, a subset of these metabolites, spanning multiple chemical classes, was identified as microbiota-derived, indicating their production or co-metabolism by microbiota (</w:t>
      </w:r>
      <w:r>
        <w:rPr>
          <w:rFonts w:ascii="Times New Roman" w:hAnsi="Times New Roman" w:eastAsia="Times New Roman" w:cs="Times New Roman"/>
          <w:b/>
          <w:rtl w:val="0"/>
        </w:rPr>
        <w:t>Methods</w:t>
      </w:r>
      <w:r>
        <w:rPr>
          <w:rFonts w:ascii="Times New Roman" w:hAnsi="Times New Roman" w:eastAsia="Times New Roman" w:cs="Times New Roman"/>
          <w:rtl w:val="0"/>
        </w:rPr>
        <w:t>). Although they represented a smaller fraction of total metabolites (78/814, 9.58%), these microbiota-derived metabolites were distributed across various classes including carboxylic acids (n = 15), benzene and substituted derivatives (n = 13), indoles and derivatives (n = 11), and phenolic compounds (n = 5) (</w:t>
      </w:r>
      <w:r>
        <w:rPr>
          <w:rFonts w:ascii="Times New Roman" w:hAnsi="Times New Roman" w:eastAsia="Times New Roman" w:cs="Times New Roman"/>
          <w:b/>
          <w:rtl w:val="0"/>
        </w:rPr>
        <w:t>Fig. 1b</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1c</w:t>
      </w:r>
      <w:r>
        <w:rPr>
          <w:rFonts w:ascii="Times New Roman" w:hAnsi="Times New Roman" w:eastAsia="Times New Roman" w:cs="Times New Roman"/>
          <w:rtl w:val="0"/>
        </w:rPr>
        <w:t>). These findings are consistent with previous studies highlighting the widespread metabolic influence of microbial communities on circulating metabolites</w:t>
      </w:r>
      <w:r>
        <w:fldChar w:fldCharType="begin"/>
      </w:r>
      <w:r>
        <w:instrText xml:space="preserve"> HYPERLINK "https://www.zotero.org/google-docs/?8gMr55" \h </w:instrText>
      </w:r>
      <w:r>
        <w:fldChar w:fldCharType="separate"/>
      </w:r>
      <w:r>
        <w:rPr>
          <w:rFonts w:ascii="Times New Roman" w:hAnsi="Times New Roman" w:eastAsia="Times New Roman" w:cs="Times New Roman"/>
          <w:shd w:val="clear" w:fill="auto"/>
          <w:vertAlign w:val="superscript"/>
          <w:rtl w:val="0"/>
        </w:rPr>
        <w:t>27,28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With this comprehensive metabolomic landscape established, we next examined how microbiomes from different body sites relate to these circulating metabolites.</w:t>
      </w:r>
    </w:p>
    <w:p w14:paraId="00000023">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 xml:space="preserve">We assessed the intrinsic compositional similarity of microbiomes from multiple body sites. Non-metric multidimensional scaling (NMDS) based on microbial community profiles (relative abundance at genus level; </w:t>
      </w:r>
      <w:r>
        <w:rPr>
          <w:rFonts w:ascii="Times New Roman" w:hAnsi="Times New Roman" w:eastAsia="Times New Roman" w:cs="Times New Roman"/>
          <w:b/>
          <w:rtl w:val="0"/>
        </w:rPr>
        <w:t>Methods</w:t>
      </w:r>
      <w:r>
        <w:rPr>
          <w:rFonts w:ascii="Times New Roman" w:hAnsi="Times New Roman" w:eastAsia="Times New Roman" w:cs="Times New Roman"/>
          <w:rtl w:val="0"/>
        </w:rPr>
        <w:t>) revealed that skin and nasal microbiomes clustered closely, indicating similar overall microbial composition structures. In contrast, oral and gut microbiomes formed distinct and well-separated clusters (</w:t>
      </w:r>
      <w:r>
        <w:rPr>
          <w:rFonts w:ascii="Times New Roman" w:hAnsi="Times New Roman" w:eastAsia="Times New Roman" w:cs="Times New Roman"/>
          <w:b/>
          <w:rtl w:val="0"/>
        </w:rPr>
        <w:t>Fig. 1c</w:t>
      </w:r>
      <w:r>
        <w:rPr>
          <w:rFonts w:ascii="Times New Roman" w:hAnsi="Times New Roman" w:eastAsia="Times New Roman" w:cs="Times New Roman"/>
          <w:rtl w:val="0"/>
        </w:rPr>
        <w:t>), which are consistent with previous studies</w:t>
      </w:r>
      <w:r>
        <w:fldChar w:fldCharType="begin"/>
      </w:r>
      <w:r>
        <w:instrText xml:space="preserve"> HYPERLINK "https://www.zotero.org/google-docs/?4JkdHz" \h </w:instrText>
      </w:r>
      <w:r>
        <w:fldChar w:fldCharType="separate"/>
      </w:r>
      <w:r>
        <w:rPr>
          <w:rFonts w:ascii="Times New Roman" w:hAnsi="Times New Roman" w:eastAsia="Times New Roman" w:cs="Times New Roman"/>
          <w:shd w:val="clear" w:fill="auto"/>
          <w:vertAlign w:val="superscript"/>
          <w:rtl w:val="0"/>
        </w:rPr>
        <w:t>29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characterize these patterns further, we defined core microbiota at the genus level using relative abundance and prevalence thresholds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As expected, the results showed that the skin and nasal microbiome have very similar core microbiota, and are both predominantly composed of </w:t>
      </w:r>
      <w:r>
        <w:rPr>
          <w:rFonts w:ascii="Times New Roman" w:hAnsi="Times New Roman" w:eastAsia="Times New Roman" w:cs="Times New Roman"/>
          <w:i/>
          <w:rtl w:val="0"/>
        </w:rPr>
        <w:t>Staphylococcus</w:t>
      </w:r>
      <w:r>
        <w:rPr>
          <w:rFonts w:ascii="Times New Roman" w:hAnsi="Times New Roman" w:eastAsia="Times New Roman" w:cs="Times New Roman"/>
          <w:rtl w:val="0"/>
        </w:rPr>
        <w:t xml:space="preserve">, </w:t>
      </w:r>
      <w:r>
        <w:rPr>
          <w:rFonts w:ascii="Times New Roman" w:hAnsi="Times New Roman" w:eastAsia="Times New Roman" w:cs="Times New Roman"/>
          <w:i/>
          <w:rtl w:val="0"/>
        </w:rPr>
        <w:t>Cutibacterium</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Corynebacterium</w:t>
      </w:r>
      <w:r>
        <w:fldChar w:fldCharType="begin"/>
      </w:r>
      <w:r>
        <w:instrText xml:space="preserve"> HYPERLINK "https://www.zotero.org/google-docs/?vGJo8U" \h </w:instrText>
      </w:r>
      <w:r>
        <w:fldChar w:fldCharType="separate"/>
      </w:r>
      <w:r>
        <w:rPr>
          <w:rFonts w:ascii="Times New Roman" w:hAnsi="Times New Roman" w:eastAsia="Times New Roman" w:cs="Times New Roman"/>
          <w:shd w:val="clear" w:fill="auto"/>
          <w:vertAlign w:val="superscript"/>
          <w:rtl w:val="0"/>
        </w:rPr>
        <w:t>30,31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1d</w:t>
      </w:r>
      <w:r>
        <w:rPr>
          <w:rFonts w:ascii="Times New Roman" w:hAnsi="Times New Roman" w:eastAsia="Times New Roman" w:cs="Times New Roman"/>
          <w:rtl w:val="0"/>
        </w:rPr>
        <w:t xml:space="preserve">). In contrast, the gut microbiome was enriched for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w:t>
      </w:r>
      <w:r>
        <w:rPr>
          <w:rFonts w:ascii="Times New Roman" w:hAnsi="Times New Roman" w:eastAsia="Times New Roman" w:cs="Times New Roman"/>
          <w:i/>
          <w:rtl w:val="0"/>
        </w:rPr>
        <w:t>Bacteroides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Faecalibacterium</w:t>
      </w:r>
      <w:r>
        <w:fldChar w:fldCharType="begin"/>
      </w:r>
      <w:r>
        <w:instrText xml:space="preserve"> HYPERLINK "https://www.zotero.org/google-docs/?194Lgt" \h </w:instrText>
      </w:r>
      <w:r>
        <w:fldChar w:fldCharType="separate"/>
      </w:r>
      <w:r>
        <w:rPr>
          <w:rFonts w:ascii="Times New Roman" w:hAnsi="Times New Roman" w:eastAsia="Times New Roman" w:cs="Times New Roman"/>
          <w:shd w:val="clear" w:fill="auto"/>
          <w:vertAlign w:val="superscript"/>
          <w:rtl w:val="0"/>
        </w:rPr>
        <w:t>32,33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while the oral microbiome was dominated by </w:t>
      </w:r>
      <w:r>
        <w:rPr>
          <w:rFonts w:ascii="Times New Roman" w:hAnsi="Times New Roman" w:eastAsia="Times New Roman" w:cs="Times New Roman"/>
          <w:i/>
          <w:rtl w:val="0"/>
        </w:rPr>
        <w:t>Prevotella</w:t>
      </w:r>
      <w:r>
        <w:rPr>
          <w:rFonts w:ascii="Times New Roman" w:hAnsi="Times New Roman" w:eastAsia="Times New Roman" w:cs="Times New Roman"/>
          <w:rtl w:val="0"/>
        </w:rPr>
        <w:t xml:space="preserve">, </w:t>
      </w:r>
      <w:r>
        <w:rPr>
          <w:rFonts w:ascii="Times New Roman" w:hAnsi="Times New Roman" w:eastAsia="Times New Roman" w:cs="Times New Roman"/>
          <w:i/>
          <w:rtl w:val="0"/>
        </w:rPr>
        <w:t>Neisseria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Veillonella</w:t>
      </w:r>
      <w:r>
        <w:fldChar w:fldCharType="begin"/>
      </w:r>
      <w:r>
        <w:instrText xml:space="preserve"> HYPERLINK "https://www.zotero.org/google-docs/?HZaqJ2" \h </w:instrText>
      </w:r>
      <w:r>
        <w:fldChar w:fldCharType="separate"/>
      </w:r>
      <w:r>
        <w:rPr>
          <w:rFonts w:ascii="Times New Roman" w:hAnsi="Times New Roman" w:eastAsia="Times New Roman" w:cs="Times New Roman"/>
          <w:shd w:val="clear" w:fill="auto"/>
          <w:vertAlign w:val="superscript"/>
          <w:rtl w:val="0"/>
        </w:rPr>
        <w:t>34–36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1d</w:t>
      </w:r>
      <w:r>
        <w:rPr>
          <w:rFonts w:ascii="Times New Roman" w:hAnsi="Times New Roman" w:eastAsia="Times New Roman" w:cs="Times New Roman"/>
          <w:rtl w:val="0"/>
        </w:rPr>
        <w:t>). These findings are consistent with previous studies describing the spatial compartmentalization and ecological differentiation of the human microbiome across different body sites</w:t>
      </w:r>
      <w:r>
        <w:fldChar w:fldCharType="begin"/>
      </w:r>
      <w:r>
        <w:instrText xml:space="preserve"> HYPERLINK "https://www.zotero.org/google-docs/?QhqPLY" \h </w:instrText>
      </w:r>
      <w:r>
        <w:fldChar w:fldCharType="separate"/>
      </w:r>
      <w:r>
        <w:rPr>
          <w:rFonts w:ascii="Times New Roman" w:hAnsi="Times New Roman" w:eastAsia="Times New Roman" w:cs="Times New Roman"/>
          <w:shd w:val="clear" w:fill="auto"/>
          <w:vertAlign w:val="superscript"/>
          <w:rtl w:val="0"/>
        </w:rPr>
        <w:t>37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4">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Given the distinct microbial composition from different body sites, we next assessed their overall associations with the human plasma metabolome. Previous studies have demonstrated associations between gut microbiome diversity and plasma metabolome</w:t>
      </w:r>
      <w:r>
        <w:fldChar w:fldCharType="begin"/>
      </w:r>
      <w:r>
        <w:instrText xml:space="preserve"> HYPERLINK "https://www.zotero.org/google-docs/?oEuowN" \h </w:instrText>
      </w:r>
      <w:r>
        <w:fldChar w:fldCharType="separate"/>
      </w:r>
      <w:r>
        <w:rPr>
          <w:rFonts w:ascii="Times New Roman" w:hAnsi="Times New Roman" w:eastAsia="Times New Roman" w:cs="Times New Roman"/>
          <w:shd w:val="clear" w:fill="auto"/>
          <w:vertAlign w:val="superscript"/>
          <w:rtl w:val="0"/>
        </w:rPr>
        <w:t>7,38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but it remains unclear whether microbiomes from other body sites exhibit similar associations with the plasma metabolome. To this end, we computed Spearman correlations between microbiome alpha diversity (Shannon index) from each body site and each circulating metabolite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As expected, multiple known microbiota-derived metabolites, including phenylacetylglutamine (PAGln)</w:t>
      </w:r>
      <w:r>
        <w:fldChar w:fldCharType="begin"/>
      </w:r>
      <w:r>
        <w:instrText xml:space="preserve"> HYPERLINK "https://www.zotero.org/google-docs/?blIgvs" \h </w:instrText>
      </w:r>
      <w:r>
        <w:fldChar w:fldCharType="separate"/>
      </w:r>
      <w:r>
        <w:rPr>
          <w:rFonts w:ascii="Times New Roman" w:hAnsi="Times New Roman" w:eastAsia="Times New Roman" w:cs="Times New Roman"/>
          <w:shd w:val="clear" w:fill="auto"/>
          <w:vertAlign w:val="superscript"/>
          <w:rtl w:val="0"/>
        </w:rPr>
        <w:t>39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5-hydroxyhexanoic acid</w:t>
      </w:r>
      <w:r>
        <w:fldChar w:fldCharType="begin"/>
      </w:r>
      <w:r>
        <w:instrText xml:space="preserve"> HYPERLINK "https://www.zotero.org/google-docs/?0ngVtY" \h </w:instrText>
      </w:r>
      <w:r>
        <w:fldChar w:fldCharType="separate"/>
      </w:r>
      <w:r>
        <w:rPr>
          <w:rFonts w:ascii="Times New Roman" w:hAnsi="Times New Roman" w:eastAsia="Times New Roman" w:cs="Times New Roman"/>
          <w:shd w:val="clear" w:fill="auto"/>
          <w:vertAlign w:val="superscript"/>
          <w:rtl w:val="0"/>
        </w:rPr>
        <w:t>40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p-cresol sulfate</w:t>
      </w:r>
      <w:r>
        <w:fldChar w:fldCharType="begin"/>
      </w:r>
      <w:r>
        <w:instrText xml:space="preserve"> HYPERLINK "https://www.zotero.org/google-docs/?meAzYo" \h </w:instrText>
      </w:r>
      <w:r>
        <w:fldChar w:fldCharType="separate"/>
      </w:r>
      <w:r>
        <w:rPr>
          <w:rFonts w:ascii="Times New Roman" w:hAnsi="Times New Roman" w:eastAsia="Times New Roman" w:cs="Times New Roman"/>
          <w:shd w:val="clear" w:fill="auto"/>
          <w:vertAlign w:val="superscript"/>
          <w:rtl w:val="0"/>
        </w:rPr>
        <w:t>41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p-hydroxyphenylacetic acid</w:t>
      </w:r>
      <w:r>
        <w:fldChar w:fldCharType="begin"/>
      </w:r>
      <w:r>
        <w:instrText xml:space="preserve"> HYPERLINK "https://www.zotero.org/google-docs/?IAKg0C" \h </w:instrText>
      </w:r>
      <w:r>
        <w:fldChar w:fldCharType="separate"/>
      </w:r>
      <w:r>
        <w:rPr>
          <w:rFonts w:ascii="Times New Roman" w:hAnsi="Times New Roman" w:eastAsia="Times New Roman" w:cs="Times New Roman"/>
          <w:shd w:val="clear" w:fill="auto"/>
          <w:vertAlign w:val="superscript"/>
          <w:rtl w:val="0"/>
        </w:rPr>
        <w:t>42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showed significant positive correlations with gut microbiome alpha diversity (</w:t>
      </w:r>
      <w:r>
        <w:rPr>
          <w:rFonts w:ascii="Times New Roman" w:hAnsi="Times New Roman" w:eastAsia="Times New Roman" w:cs="Times New Roman"/>
          <w:b/>
          <w:rtl w:val="0"/>
        </w:rPr>
        <w:t>Fig. 1e</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xml:space="preserve">; FDR-adjusted P &lt; 0.05). </w:t>
      </w:r>
    </w:p>
    <w:p w14:paraId="00000025">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Interestingly, we also observed body site-specific patterns between the microbiome and circulating metabolites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For example, glycerophospholipid metabolites are positively correlated with skin microbiome alpha diversity but negatively with nasal microbiome diversity (</w:t>
      </w:r>
      <w:r>
        <w:rPr>
          <w:rFonts w:ascii="Times New Roman" w:hAnsi="Times New Roman" w:eastAsia="Times New Roman" w:cs="Times New Roman"/>
          <w:b/>
          <w:rtl w:val="0"/>
        </w:rPr>
        <w:t>Fig. 1e</w:t>
      </w:r>
      <w:r>
        <w:rPr>
          <w:rFonts w:ascii="Times New Roman" w:hAnsi="Times New Roman" w:eastAsia="Times New Roman" w:cs="Times New Roman"/>
          <w:rtl w:val="0"/>
        </w:rPr>
        <w:t>), even though the skin and nasal microbiomes have similar microbial composition (</w:t>
      </w:r>
      <w:r>
        <w:rPr>
          <w:rFonts w:ascii="Times New Roman" w:hAnsi="Times New Roman" w:eastAsia="Times New Roman" w:cs="Times New Roman"/>
          <w:b/>
          <w:rtl w:val="0"/>
        </w:rPr>
        <w:t>Fig. 1c,d</w:t>
      </w:r>
      <w:r>
        <w:rPr>
          <w:rFonts w:ascii="Times New Roman" w:hAnsi="Times New Roman" w:eastAsia="Times New Roman" w:cs="Times New Roman"/>
          <w:rtl w:val="0"/>
        </w:rPr>
        <w:t>). This result suggested that the function of the microbiome may be closely related to its ecological niche</w:t>
      </w:r>
      <w:r>
        <w:fldChar w:fldCharType="begin"/>
      </w:r>
      <w:r>
        <w:instrText xml:space="preserve"> HYPERLINK "https://www.zotero.org/google-docs/?uh6FSN" \h </w:instrText>
      </w:r>
      <w:r>
        <w:fldChar w:fldCharType="separate"/>
      </w:r>
      <w:r>
        <w:rPr>
          <w:rFonts w:ascii="Times New Roman" w:hAnsi="Times New Roman" w:eastAsia="Times New Roman" w:cs="Times New Roman"/>
          <w:shd w:val="clear" w:fill="auto"/>
          <w:vertAlign w:val="superscript"/>
          <w:rtl w:val="0"/>
        </w:rPr>
        <w:t>43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Overall, microbiota-derived metabolites exhibited significantly stronger absolute correlations with microbiome alpha diversity across all body sites than non-microbiota-derived metabolites (mean absolute rho: 0.31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0.26; Wilcoxon test, P &lt; 0.01; </w:t>
      </w:r>
      <w:r>
        <w:rPr>
          <w:rFonts w:ascii="Times New Roman" w:hAnsi="Times New Roman" w:eastAsia="Times New Roman" w:cs="Times New Roman"/>
          <w:b/>
          <w:rtl w:val="0"/>
        </w:rPr>
        <w:t>Fig. 1f</w:t>
      </w:r>
      <w:r>
        <w:rPr>
          <w:rFonts w:ascii="Times New Roman" w:hAnsi="Times New Roman" w:eastAsia="Times New Roman" w:cs="Times New Roman"/>
          <w:rtl w:val="0"/>
        </w:rPr>
        <w:t xml:space="preserve">). Additionally, the strength of associations with circulating metabolites varied microbiomes by body site, with gut microbiome consistently showing the strongest overall correlations with circulating metabolites, followed by oral, skin, and nasal microbiomes (Wilcoxon test, P &lt; 0.01; </w:t>
      </w:r>
      <w:r>
        <w:rPr>
          <w:rFonts w:ascii="Times New Roman" w:hAnsi="Times New Roman" w:eastAsia="Times New Roman" w:cs="Times New Roman"/>
          <w:b/>
          <w:rtl w:val="0"/>
        </w:rPr>
        <w:t>Supplementary Table 3; Fig. 1g</w:t>
      </w:r>
      <w:r>
        <w:rPr>
          <w:rFonts w:ascii="Times New Roman" w:hAnsi="Times New Roman" w:eastAsia="Times New Roman" w:cs="Times New Roman"/>
          <w:rtl w:val="0"/>
        </w:rPr>
        <w:t>).</w:t>
      </w:r>
    </w:p>
    <w:p w14:paraId="00000026">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Lastly, we examined whether the metabolite class distributions of significantly associated metabolites differed across microbiomes from different body sites. The metabolite classes associated with oral and gut microbiome diversity were highly similar (</w:t>
      </w:r>
      <w:r>
        <w:rPr>
          <w:rFonts w:ascii="Times New Roman" w:hAnsi="Times New Roman" w:eastAsia="Times New Roman" w:cs="Times New Roman"/>
          <w:b/>
          <w:rtl w:val="0"/>
        </w:rPr>
        <w:t>Fig. 1h</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1d</w:t>
      </w:r>
      <w:r>
        <w:rPr>
          <w:rFonts w:ascii="Times New Roman" w:hAnsi="Times New Roman" w:eastAsia="Times New Roman" w:cs="Times New Roman"/>
          <w:rtl w:val="0"/>
        </w:rPr>
        <w:t>; Chi-squared test, P &gt; 0.05), both enriched in fatty acyls and carboxylic acid derivatives (</w:t>
      </w:r>
      <w:r>
        <w:rPr>
          <w:rFonts w:ascii="Times New Roman" w:hAnsi="Times New Roman" w:eastAsia="Times New Roman" w:cs="Times New Roman"/>
          <w:b/>
          <w:rtl w:val="0"/>
        </w:rPr>
        <w:t>Fig. 1h</w:t>
      </w:r>
      <w:r>
        <w:rPr>
          <w:rFonts w:ascii="Times New Roman" w:hAnsi="Times New Roman" w:eastAsia="Times New Roman" w:cs="Times New Roman"/>
          <w:rtl w:val="0"/>
        </w:rPr>
        <w:t>). In contrast, circulating metabolites associated with skin and nasal microbiomes showed greater heterogeneity (</w:t>
      </w:r>
      <w:r>
        <w:rPr>
          <w:rFonts w:ascii="Times New Roman" w:hAnsi="Times New Roman" w:eastAsia="Times New Roman" w:cs="Times New Roman"/>
          <w:b/>
          <w:rtl w:val="0"/>
        </w:rPr>
        <w:t>Fig. 1h</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1d</w:t>
      </w:r>
      <w:r>
        <w:rPr>
          <w:rFonts w:ascii="Times New Roman" w:hAnsi="Times New Roman" w:eastAsia="Times New Roman" w:cs="Times New Roman"/>
          <w:rtl w:val="0"/>
        </w:rPr>
        <w:t>).</w:t>
      </w:r>
    </w:p>
    <w:p w14:paraId="00000027">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Overall, while microbiomes from different body sites exhibit clear spatial distinctions in their microbial composition (</w:t>
      </w:r>
      <w:r>
        <w:rPr>
          <w:rFonts w:ascii="Times New Roman" w:hAnsi="Times New Roman" w:eastAsia="Times New Roman" w:cs="Times New Roman"/>
          <w:b/>
          <w:rtl w:val="0"/>
        </w:rPr>
        <w:t>Fig. 1c,d</w:t>
      </w:r>
      <w:r>
        <w:rPr>
          <w:rFonts w:ascii="Times New Roman" w:hAnsi="Times New Roman" w:eastAsia="Times New Roman" w:cs="Times New Roman"/>
          <w:rtl w:val="0"/>
        </w:rPr>
        <w:t>), these microbial compositional patterns do not directly reflect their metabolic function, namely, their impact on the plasma metabolome. We found that the metabolic associations of each microbiome are highly selective and body site-specific, with skin and nasal microbiomes showing divergent correlations with key metabolite classes despite their similarity of microbial composition. These findings suggest that similar microbial communities may exert distinct metabolic effects depending on their anatomical context, highlighting the importance of integrating functional data (metabolome) to fully understand host-microbiome interactions beyond the microbiome alone.</w:t>
      </w:r>
    </w:p>
    <w:p w14:paraId="00000028">
      <w:pPr>
        <w:spacing w:after="0" w:line="276" w:lineRule="auto"/>
        <w:jc w:val="both"/>
        <w:rPr>
          <w:rFonts w:ascii="Times New Roman" w:hAnsi="Times New Roman" w:eastAsia="Times New Roman" w:cs="Times New Roman"/>
          <w:b/>
        </w:rPr>
      </w:pPr>
    </w:p>
    <w:p w14:paraId="00000029">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Gut Microbiome Dominates in Influencing Plasma Metabolome Compared to Other Body Sites</w:t>
      </w:r>
    </w:p>
    <w:p w14:paraId="0000002A">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Having established that microbiomes from multiple body sites are associated with the human plasma metabolome above, we next sought to quantify the extent of this influence and identify which body sites exert the most significant effects. To this end, we calculated the proportion of inter-individual variance in the plasma metabolome (814 annotated metabolites) explained by each body site microbiome (</w:t>
      </w:r>
      <w:r>
        <w:rPr>
          <w:rFonts w:ascii="Times New Roman" w:hAnsi="Times New Roman" w:eastAsia="Times New Roman" w:cs="Times New Roman"/>
          <w:b/>
          <w:rtl w:val="0"/>
        </w:rPr>
        <w:t>Methods</w:t>
      </w:r>
      <w:r>
        <w:rPr>
          <w:rFonts w:ascii="Times New Roman" w:hAnsi="Times New Roman" w:eastAsia="Times New Roman" w:cs="Times New Roman"/>
          <w:rtl w:val="0"/>
        </w:rPr>
        <w:t>). The results revealed that the microbiomes explained 33.25% of the inter-individual variation in plasma metabolome, with the gut microbiome contributing the most (18.04%), followed by the oral (13.35%), skin (9.07%), and nasal (5.82%) microbiomes (</w:t>
      </w:r>
      <w:r>
        <w:rPr>
          <w:rFonts w:ascii="Times New Roman" w:hAnsi="Times New Roman" w:eastAsia="Times New Roman" w:cs="Times New Roman"/>
          <w:b/>
          <w:rtl w:val="0"/>
        </w:rPr>
        <w:t>Fig. 2a</w:t>
      </w:r>
      <w:r>
        <w:rPr>
          <w:rFonts w:ascii="Times New Roman" w:hAnsi="Times New Roman" w:eastAsia="Times New Roman" w:cs="Times New Roman"/>
          <w:rtl w:val="0"/>
        </w:rPr>
        <w:t>). The magnitude of influence observed for the gut microbiome is consistent with a previous study reporting that gut microbial features explained approximately 12.8% of the variance in the plasma metabolome in a Dutch cohort</w:t>
      </w:r>
      <w:r>
        <w:fldChar w:fldCharType="begin"/>
      </w:r>
      <w:r>
        <w:instrText xml:space="preserve"> HYPERLINK "https://www.zotero.org/google-docs/?xZGXge" \h </w:instrText>
      </w:r>
      <w:r>
        <w:fldChar w:fldCharType="separate"/>
      </w:r>
      <w:r>
        <w:rPr>
          <w:rFonts w:ascii="Times New Roman" w:hAnsi="Times New Roman" w:eastAsia="Times New Roman" w:cs="Times New Roman"/>
          <w:shd w:val="clear" w:fill="auto"/>
          <w:vertAlign w:val="superscript"/>
          <w:rtl w:val="0"/>
        </w:rPr>
        <w:t>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However, few previous studies have quantified the contributions of microbiomes beyond the gut, making our findings for microbiomes from other body sites particularly novel and informative. Interestingly, we found that combining the microbiome data from four sites can significantly improve the explanatory power of metabolome variation (33.25%, </w:t>
      </w:r>
      <w:r>
        <w:rPr>
          <w:rFonts w:ascii="Times New Roman" w:hAnsi="Times New Roman" w:eastAsia="Times New Roman" w:cs="Times New Roman"/>
          <w:b/>
          <w:rtl w:val="0"/>
        </w:rPr>
        <w:t>Fig. 2a</w:t>
      </w:r>
      <w:r>
        <w:rPr>
          <w:rFonts w:ascii="Times New Roman" w:hAnsi="Times New Roman" w:eastAsia="Times New Roman" w:cs="Times New Roman"/>
          <w:rtl w:val="0"/>
        </w:rPr>
        <w:t>). To understand which specific microbial taxa drive these body site-specific contributions, we performed detailed correlation analyses between individual genera and metabolite profiles.</w:t>
      </w:r>
    </w:p>
    <w:p w14:paraId="0000002B">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As expected, microbiomes from all body sites explained a greater proportion of variance in microbiota-derived metabolites than in the overall metabolites: 37.22 for all microbiome, 25.12% for the gut, 15.21% for the oral, 13.22% for the skin, and 9.12% for the nasal microbiome (</w:t>
      </w:r>
      <w:r>
        <w:rPr>
          <w:rFonts w:ascii="Times New Roman" w:hAnsi="Times New Roman" w:eastAsia="Times New Roman" w:cs="Times New Roman"/>
          <w:b/>
          <w:rtl w:val="0"/>
        </w:rPr>
        <w:t>Fig. 2a</w:t>
      </w:r>
      <w:r>
        <w:rPr>
          <w:rFonts w:ascii="Times New Roman" w:hAnsi="Times New Roman" w:eastAsia="Times New Roman" w:cs="Times New Roman"/>
          <w:rtl w:val="0"/>
        </w:rPr>
        <w:t>). These results reinforce the well-established role of microbial communities in producing or modifying specific metabolites, which is well studied in gut microbiomes</w:t>
      </w:r>
      <w:r>
        <w:fldChar w:fldCharType="begin"/>
      </w:r>
      <w:r>
        <w:instrText xml:space="preserve"> HYPERLINK "https://www.zotero.org/google-docs/?fUeiZ7" \h </w:instrText>
      </w:r>
      <w:r>
        <w:fldChar w:fldCharType="separate"/>
      </w:r>
      <w:r>
        <w:rPr>
          <w:rFonts w:ascii="Times New Roman" w:hAnsi="Times New Roman" w:eastAsia="Times New Roman" w:cs="Times New Roman"/>
          <w:shd w:val="clear" w:fill="auto"/>
          <w:vertAlign w:val="superscript"/>
          <w:rtl w:val="0"/>
        </w:rPr>
        <w:t>7,8,44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More importantly, these results also suggest that microbiomes from all body sites exert systemic plasma metabolic influence through additional pathways beyond direct metabolite secretion (</w:t>
      </w:r>
      <w:r>
        <w:rPr>
          <w:rFonts w:ascii="Times New Roman" w:hAnsi="Times New Roman" w:eastAsia="Times New Roman" w:cs="Times New Roman"/>
          <w:b/>
          <w:rtl w:val="0"/>
        </w:rPr>
        <w:t>Fig. 2a</w:t>
      </w:r>
      <w:r>
        <w:rPr>
          <w:rFonts w:ascii="Times New Roman" w:hAnsi="Times New Roman" w:eastAsia="Times New Roman" w:cs="Times New Roman"/>
          <w:rtl w:val="0"/>
        </w:rPr>
        <w:t>). These may include host-microbiota co-metabolism</w:t>
      </w:r>
      <w:r>
        <w:fldChar w:fldCharType="begin"/>
      </w:r>
      <w:r>
        <w:instrText xml:space="preserve"> HYPERLINK "https://www.zotero.org/google-docs/?vKJW7v" \h </w:instrText>
      </w:r>
      <w:r>
        <w:fldChar w:fldCharType="separate"/>
      </w:r>
      <w:r>
        <w:rPr>
          <w:rFonts w:ascii="Times New Roman" w:hAnsi="Times New Roman" w:eastAsia="Times New Roman" w:cs="Times New Roman"/>
          <w:shd w:val="clear" w:fill="auto"/>
          <w:vertAlign w:val="superscript"/>
          <w:rtl w:val="0"/>
        </w:rPr>
        <w:t>45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regulation of epithelial and metabolic signaling pathways</w:t>
      </w:r>
      <w:r>
        <w:fldChar w:fldCharType="begin"/>
      </w:r>
      <w:r>
        <w:instrText xml:space="preserve"> HYPERLINK "https://www.zotero.org/google-docs/?3ypzSw" \h </w:instrText>
      </w:r>
      <w:r>
        <w:fldChar w:fldCharType="separate"/>
      </w:r>
      <w:r>
        <w:rPr>
          <w:rFonts w:ascii="Times New Roman" w:hAnsi="Times New Roman" w:eastAsia="Times New Roman" w:cs="Times New Roman"/>
          <w:shd w:val="clear" w:fill="auto"/>
          <w:vertAlign w:val="superscript"/>
          <w:rtl w:val="0"/>
        </w:rPr>
        <w:t>46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immune-mediated mechanisms</w:t>
      </w:r>
      <w:r>
        <w:fldChar w:fldCharType="begin"/>
      </w:r>
      <w:r>
        <w:instrText xml:space="preserve"> HYPERLINK "https://www.zotero.org/google-docs/?bzNGo5" \h </w:instrText>
      </w:r>
      <w:r>
        <w:fldChar w:fldCharType="separate"/>
      </w:r>
      <w:r>
        <w:rPr>
          <w:rFonts w:ascii="Times New Roman" w:hAnsi="Times New Roman" w:eastAsia="Times New Roman" w:cs="Times New Roman"/>
          <w:shd w:val="clear" w:fill="auto"/>
          <w:vertAlign w:val="superscript"/>
          <w:rtl w:val="0"/>
        </w:rPr>
        <w:t>47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all of which contribute to influencing the broader plasma metabolome. </w:t>
      </w:r>
    </w:p>
    <w:p w14:paraId="0000002C">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Next, to identify which specific microbial taxa contribute most strongly to plasma metabolome variation, we performed principal component analysis (PCA) on plasma metabolome and overlaid genus-level microbial taxa from each body site (</w:t>
      </w:r>
      <w:r>
        <w:rPr>
          <w:rFonts w:ascii="Times New Roman" w:hAnsi="Times New Roman" w:eastAsia="Times New Roman" w:cs="Times New Roman"/>
          <w:b/>
          <w:rtl w:val="0"/>
        </w:rPr>
        <w:t>Fig. 2b</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2d</w:t>
      </w:r>
      <w:r>
        <w:rPr>
          <w:rFonts w:ascii="Times New Roman" w:hAnsi="Times New Roman" w:eastAsia="Times New Roman" w:cs="Times New Roman"/>
          <w:rtl w:val="0"/>
        </w:rPr>
        <w:t xml:space="preserv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Among these,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in the gut microbiome were most strongly associated with the primary axes of variation (PC1 and PC2) (</w:t>
      </w:r>
      <w:r>
        <w:rPr>
          <w:rFonts w:ascii="Times New Roman" w:hAnsi="Times New Roman" w:eastAsia="Times New Roman" w:cs="Times New Roman"/>
          <w:b/>
          <w:rtl w:val="0"/>
        </w:rPr>
        <w:t>Fig. 2b</w:t>
      </w:r>
      <w:r>
        <w:rPr>
          <w:rFonts w:ascii="Times New Roman" w:hAnsi="Times New Roman" w:eastAsia="Times New Roman" w:cs="Times New Roman"/>
          <w:rtl w:val="0"/>
        </w:rPr>
        <w:t>), indicating that these two genera play central roles in influencing human plasma metabolome and contribute substantially to inter-individual variability</w:t>
      </w:r>
      <w:r>
        <w:fldChar w:fldCharType="begin"/>
      </w:r>
      <w:r>
        <w:instrText xml:space="preserve"> HYPERLINK "https://www.zotero.org/google-docs/?1IBvBb" \h </w:instrText>
      </w:r>
      <w:r>
        <w:fldChar w:fldCharType="separate"/>
      </w:r>
      <w:r>
        <w:rPr>
          <w:rFonts w:ascii="Times New Roman" w:hAnsi="Times New Roman" w:eastAsia="Times New Roman" w:cs="Times New Roman"/>
          <w:shd w:val="clear" w:fill="auto"/>
          <w:vertAlign w:val="superscript"/>
          <w:rtl w:val="0"/>
        </w:rPr>
        <w:t>48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D">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We further examined these associations by calculating Spearman correlations between the relative abundance of each genus and the abundance of each circulating metabolite (</w:t>
      </w:r>
      <w:r>
        <w:rPr>
          <w:rFonts w:ascii="Times New Roman" w:hAnsi="Times New Roman" w:eastAsia="Times New Roman" w:cs="Times New Roman"/>
          <w:b/>
          <w:rtl w:val="0"/>
        </w:rPr>
        <w:t>Fig. 2c</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as well as between each genus and plasma metabolome PC1 (</w:t>
      </w:r>
      <w:r>
        <w:rPr>
          <w:rFonts w:ascii="Times New Roman" w:hAnsi="Times New Roman" w:eastAsia="Times New Roman" w:cs="Times New Roman"/>
          <w:b/>
          <w:rtl w:val="0"/>
        </w:rPr>
        <w:t>Fig. 2d</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4</w:t>
      </w:r>
      <w:r>
        <w:rPr>
          <w:rFonts w:ascii="Times New Roman" w:hAnsi="Times New Roman" w:eastAsia="Times New Roman" w:cs="Times New Roman"/>
          <w:rtl w:val="0"/>
        </w:rPr>
        <w:t xml:space="preserve">; </w:t>
      </w:r>
      <w:r>
        <w:rPr>
          <w:rFonts w:ascii="Times New Roman" w:hAnsi="Times New Roman" w:eastAsia="Times New Roman" w:cs="Times New Roman"/>
          <w:b/>
          <w:rtl w:val="0"/>
        </w:rPr>
        <w:t>Methods</w:t>
      </w:r>
      <w:r>
        <w:rPr>
          <w:rFonts w:ascii="Times New Roman" w:hAnsi="Times New Roman" w:eastAsia="Times New Roman" w:cs="Times New Roman"/>
          <w:rtl w:val="0"/>
        </w:rPr>
        <w:t>). As expected, the gut microbiome exhibited the highest number of significant correlations with circulating metabolites (n = 427 metabolites; FDR-adjusted P &lt; 0.05), followed by oral (n = 243), nasal (n = 233), and skin (n = 189) microbiomes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which are almost consistent with the overall variance explained by each body site (</w:t>
      </w:r>
      <w:r>
        <w:rPr>
          <w:rFonts w:ascii="Times New Roman" w:hAnsi="Times New Roman" w:eastAsia="Times New Roman" w:cs="Times New Roman"/>
          <w:b/>
          <w:rtl w:val="0"/>
        </w:rPr>
        <w:t>Fig. 2a</w:t>
      </w:r>
      <w:r>
        <w:rPr>
          <w:rFonts w:ascii="Times New Roman" w:hAnsi="Times New Roman" w:eastAsia="Times New Roman" w:cs="Times New Roman"/>
          <w:rtl w:val="0"/>
        </w:rPr>
        <w:t>). To identify the most influential genera for each body site, we summarized the genera with the largest number of significantly associated metabolites (</w:t>
      </w:r>
      <w:r>
        <w:rPr>
          <w:rFonts w:ascii="Times New Roman" w:hAnsi="Times New Roman" w:eastAsia="Times New Roman" w:cs="Times New Roman"/>
          <w:b/>
          <w:rtl w:val="0"/>
        </w:rPr>
        <w:t>Supplementary Fig. 2b</w:t>
      </w:r>
      <w:r>
        <w:rPr>
          <w:rFonts w:ascii="Times New Roman" w:hAnsi="Times New Roman" w:eastAsia="Times New Roman" w:cs="Times New Roman"/>
          <w:rtl w:val="0"/>
        </w:rPr>
        <w:t xml:space="preserve">). Notably,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again emerged as the top genera in terms of breadth of associations, further supporting their key role in influencing the plasma metabolome (</w:t>
      </w:r>
      <w:r>
        <w:rPr>
          <w:rFonts w:ascii="Times New Roman" w:hAnsi="Times New Roman" w:eastAsia="Times New Roman" w:cs="Times New Roman"/>
          <w:b/>
          <w:rtl w:val="0"/>
        </w:rPr>
        <w:t>Supplementary Fig. 2b</w:t>
      </w:r>
      <w:r>
        <w:rPr>
          <w:rFonts w:ascii="Times New Roman" w:hAnsi="Times New Roman" w:eastAsia="Times New Roman" w:cs="Times New Roman"/>
          <w:rtl w:val="0"/>
        </w:rPr>
        <w:t>). Specifically, both genera showed the strongest correlations with PC1 of the plasma metabolome (</w:t>
      </w:r>
      <w:r>
        <w:rPr>
          <w:rFonts w:ascii="Times New Roman" w:hAnsi="Times New Roman" w:eastAsia="Times New Roman" w:cs="Times New Roman"/>
          <w:b/>
          <w:rtl w:val="0"/>
        </w:rPr>
        <w:t>Fig. 2b</w:t>
      </w:r>
      <w:r>
        <w:rPr>
          <w:rFonts w:ascii="Times New Roman" w:hAnsi="Times New Roman" w:eastAsia="Times New Roman" w:cs="Times New Roman"/>
          <w:rtl w:val="0"/>
        </w:rPr>
        <w:t xml:space="preserve">), reinforcing their dominant contribution to the variation of the plasma metabolome. These results are consistent with previous studies. For example, a large-scale analysis identified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as one of the most metabolically influential genera across 930 blood metabolites</w:t>
      </w:r>
      <w:r>
        <w:fldChar w:fldCharType="begin"/>
      </w:r>
      <w:r>
        <w:instrText xml:space="preserve"> HYPERLINK "https://www.zotero.org/google-docs/?fjr3Ne" \h </w:instrText>
      </w:r>
      <w:r>
        <w:fldChar w:fldCharType="separate"/>
      </w:r>
      <w:r>
        <w:rPr>
          <w:rFonts w:ascii="Times New Roman" w:hAnsi="Times New Roman" w:eastAsia="Times New Roman" w:cs="Times New Roman"/>
          <w:shd w:val="clear" w:fill="auto"/>
          <w:vertAlign w:val="superscript"/>
          <w:rtl w:val="0"/>
        </w:rPr>
        <w:t>49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Similarly,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(previously classified under </w:t>
      </w:r>
      <w:r>
        <w:rPr>
          <w:rFonts w:ascii="Times New Roman" w:hAnsi="Times New Roman" w:eastAsia="Times New Roman" w:cs="Times New Roman"/>
          <w:i/>
          <w:rtl w:val="0"/>
        </w:rPr>
        <w:t>Bacteroides</w:t>
      </w:r>
      <w:r>
        <w:rPr>
          <w:rFonts w:ascii="Times New Roman" w:hAnsi="Times New Roman" w:eastAsia="Times New Roman" w:cs="Times New Roman"/>
          <w:rtl w:val="0"/>
        </w:rPr>
        <w:t>) has been linked to bile acid metabolism and amino acid metabolism in human plasma, further supporting its functional relevance in host-gut microbial metabolic interactions</w:t>
      </w:r>
      <w:r>
        <w:fldChar w:fldCharType="begin"/>
      </w:r>
      <w:r>
        <w:instrText xml:space="preserve"> HYPERLINK "https://www.zotero.org/google-docs/?pZygco" \h </w:instrText>
      </w:r>
      <w:r>
        <w:fldChar w:fldCharType="separate"/>
      </w:r>
      <w:r>
        <w:rPr>
          <w:rFonts w:ascii="Times New Roman" w:hAnsi="Times New Roman" w:eastAsia="Times New Roman" w:cs="Times New Roman"/>
          <w:shd w:val="clear" w:fill="auto"/>
          <w:vertAlign w:val="superscript"/>
          <w:rtl w:val="0"/>
        </w:rPr>
        <w:t>50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E">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To validate these associations, we tested the key gut genus-metabolite pairs in validation cohort 2, and most associations were reproducible (89 out of 100), supporting the robustness of our findings (</w:t>
      </w:r>
      <w:r>
        <w:rPr>
          <w:rFonts w:ascii="Times New Roman" w:hAnsi="Times New Roman" w:eastAsia="Times New Roman" w:cs="Times New Roman"/>
          <w:b/>
          <w:rtl w:val="0"/>
        </w:rPr>
        <w:t>Supplementary Fig. 2d</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Interestingly,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from the gut microbiome showed opposing correlations with PC1 of the plasma metabolome (</w:t>
      </w:r>
      <w:r>
        <w:rPr>
          <w:rFonts w:ascii="Times New Roman" w:hAnsi="Times New Roman" w:eastAsia="Times New Roman" w:cs="Times New Roman"/>
          <w:b/>
          <w:rtl w:val="0"/>
        </w:rPr>
        <w:t>Fig. 2b,e,f</w:t>
      </w:r>
      <w:r>
        <w:rPr>
          <w:rFonts w:ascii="Times New Roman" w:hAnsi="Times New Roman" w:eastAsia="Times New Roman" w:cs="Times New Roman"/>
          <w:rtl w:val="0"/>
        </w:rPr>
        <w:t>), prompting us to investigate their specific metabolite associations further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As expected,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was positively correlated with a wide array of microbiota-derived metabolites, while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showed negative correlations with the same set, including PAGln, p-hydroxyphenylacetic acid, p-cresol sulfate, phenol sulfate, p-cresol glucuronide, and 4-hydroxybenzoic acid-4-O-sulfate (</w:t>
      </w:r>
      <w:r>
        <w:rPr>
          <w:rFonts w:ascii="Times New Roman" w:hAnsi="Times New Roman" w:eastAsia="Times New Roman" w:cs="Times New Roman"/>
          <w:b/>
          <w:rtl w:val="0"/>
        </w:rPr>
        <w:t>Fig. 2g</w:t>
      </w:r>
      <w:r>
        <w:rPr>
          <w:rFonts w:ascii="Times New Roman" w:hAnsi="Times New Roman" w:eastAsia="Times New Roman" w:cs="Times New Roman"/>
          <w:rtl w:val="0"/>
        </w:rPr>
        <w:t xml:space="preserve">). This antagonistic relationship between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has also been found in the Framingham cohort</w:t>
      </w:r>
      <w:r>
        <w:fldChar w:fldCharType="begin"/>
      </w:r>
      <w:r>
        <w:instrText xml:space="preserve"> HYPERLINK "https://www.zotero.org/google-docs/?nu6ja8" \h </w:instrText>
      </w:r>
      <w:r>
        <w:fldChar w:fldCharType="separate"/>
      </w:r>
      <w:r>
        <w:rPr>
          <w:rFonts w:ascii="Times New Roman" w:hAnsi="Times New Roman" w:eastAsia="Times New Roman" w:cs="Times New Roman"/>
          <w:shd w:val="clear" w:fill="auto"/>
          <w:vertAlign w:val="superscript"/>
          <w:rtl w:val="0"/>
        </w:rPr>
        <w:t>48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w:t>
      </w:r>
    </w:p>
    <w:p w14:paraId="0000002F">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 xml:space="preserve">In summary, these results demonstrate that among microbiomes from multiple body sites, the gut microbiome exerts the most pronounced influence on the human plasma metabolome, both in terms of overall variance explained and number of metabolite associations. While oral, skin, and nasal microbiomes also contribute meaningfully, the gut microbiome remains dominant, largely driven by the metabolic impact of genera such as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Together, these findings underscore the central role of the gut microbiome in influencing the plasma metabolome and establish a framework for cross-body site microbiome-metabolome integration. While the gut microbiome showed the strongest overall influence, our analyses revealed that many metabolites were associated with microbiomes from multiple body sites. This observation prompted us to investigate whether these associations reflect independent or cooperative microbial influences.</w:t>
      </w:r>
    </w:p>
    <w:p w14:paraId="00000030">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 </w:t>
      </w:r>
    </w:p>
    <w:p w14:paraId="00000031">
      <w:pPr>
        <w:spacing w:after="0" w:line="276" w:lineRule="auto"/>
        <w:jc w:val="both"/>
        <w:rPr>
          <w:rFonts w:ascii="Times New Roman" w:hAnsi="Times New Roman" w:eastAsia="Times New Roman" w:cs="Times New Roman"/>
          <w:highlight w:val="yellow"/>
        </w:rPr>
      </w:pPr>
      <w:r>
        <w:rPr>
          <w:rFonts w:ascii="Times New Roman" w:hAnsi="Times New Roman" w:eastAsia="Times New Roman" w:cs="Times New Roman"/>
          <w:b/>
          <w:rtl w:val="0"/>
        </w:rPr>
        <w:t>Microbiome from Multiple Body Sites Cooperatively Influences Circulating Metabolites</w:t>
      </w:r>
    </w:p>
    <w:p w14:paraId="00000032">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We have observed above that many circulating metabolites were significantly associated not only with genera from a single body site, but also with genera originating from multiple body sites (</w:t>
      </w:r>
      <w:r>
        <w:rPr>
          <w:rFonts w:ascii="Times New Roman" w:hAnsi="Times New Roman" w:eastAsia="Times New Roman" w:cs="Times New Roman"/>
          <w:b/>
          <w:rtl w:val="0"/>
        </w:rPr>
        <w:t>Fig. 2c</w:t>
      </w:r>
      <w:r>
        <w:rPr>
          <w:rFonts w:ascii="Times New Roman" w:hAnsi="Times New Roman" w:eastAsia="Times New Roman" w:cs="Times New Roman"/>
          <w:rtl w:val="0"/>
        </w:rPr>
        <w:t xml:space="preserve">,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Such as, indole and indole derivatives, which have significant correlations with oral and gut microbiomes. This result is consistent with previous studies, which show that indole and indole derivatives can be influenced by the microbiome from the oral</w:t>
      </w:r>
      <w:r>
        <w:fldChar w:fldCharType="begin"/>
      </w:r>
      <w:r>
        <w:instrText xml:space="preserve"> HYPERLINK "https://www.zotero.org/google-docs/?Jg3apU" \h </w:instrText>
      </w:r>
      <w:r>
        <w:fldChar w:fldCharType="separate"/>
      </w:r>
      <w:r>
        <w:rPr>
          <w:rFonts w:ascii="Times New Roman" w:hAnsi="Times New Roman" w:eastAsia="Times New Roman" w:cs="Times New Roman"/>
          <w:shd w:val="clear" w:fill="auto"/>
          <w:vertAlign w:val="superscript"/>
          <w:rtl w:val="0"/>
        </w:rPr>
        <w:t>51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and gut</w:t>
      </w:r>
      <w:r>
        <w:fldChar w:fldCharType="begin"/>
      </w:r>
      <w:r>
        <w:instrText xml:space="preserve"> HYPERLINK "https://www.zotero.org/google-docs/?SrResU" \h </w:instrText>
      </w:r>
      <w:r>
        <w:fldChar w:fldCharType="separate"/>
      </w:r>
      <w:r>
        <w:rPr>
          <w:rFonts w:ascii="Times New Roman" w:hAnsi="Times New Roman" w:eastAsia="Times New Roman" w:cs="Times New Roman"/>
          <w:shd w:val="clear" w:fill="auto"/>
          <w:vertAlign w:val="superscript"/>
          <w:rtl w:val="0"/>
        </w:rPr>
        <w:t>52,53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This prompted us to investigate whether microbiomes from different body sites could jointly influence individual circulating metabolites. To this end, we employed both Lasso regression and gradient-boosted decision trees (GBDT) to model the contribution of microbiota from multiple body sites on each circulating metabolite</w:t>
      </w:r>
      <w:r>
        <w:fldChar w:fldCharType="begin"/>
      </w:r>
      <w:r>
        <w:instrText xml:space="preserve"> HYPERLINK "https://www.zotero.org/google-docs/?sWcbqU" \h </w:instrText>
      </w:r>
      <w:r>
        <w:fldChar w:fldCharType="separate"/>
      </w:r>
      <w:r>
        <w:rPr>
          <w:rFonts w:ascii="Times New Roman" w:hAnsi="Times New Roman" w:eastAsia="Times New Roman" w:cs="Times New Roman"/>
          <w:shd w:val="clear" w:fill="auto"/>
          <w:vertAlign w:val="superscript"/>
          <w:rtl w:val="0"/>
        </w:rPr>
        <w:t>44,54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Methods</w:t>
      </w:r>
      <w:r>
        <w:rPr>
          <w:rFonts w:ascii="Times New Roman" w:hAnsi="Times New Roman" w:eastAsia="Times New Roman" w:cs="Times New Roman"/>
          <w:rtl w:val="0"/>
        </w:rPr>
        <w:t>). Lasso was used for its strength in variable selection and handling collinearity, while GBDT was chosen for its ability to capture complex, non-linear relationships and interactions. Upon comparing model performance, GBDT consistently outperformed Lasso across all four body site microbiomes in terms of fitting accuracy (</w:t>
      </w:r>
      <w:r>
        <w:rPr>
          <w:rFonts w:ascii="Times New Roman" w:hAnsi="Times New Roman" w:eastAsia="Times New Roman" w:cs="Times New Roman"/>
          <w:b/>
          <w:rtl w:val="0"/>
        </w:rPr>
        <w:t>Supplementary Fig. 3a</w:t>
      </w:r>
      <w:r>
        <w:rPr>
          <w:rFonts w:ascii="Times New Roman" w:hAnsi="Times New Roman" w:eastAsia="Times New Roman" w:cs="Times New Roman"/>
          <w:rtl w:val="0"/>
        </w:rPr>
        <w:t xml:space="preserve">). As a result, we used the </w:t>
      </w:r>
      <w:r>
        <w:rPr>
          <w:rFonts w:ascii="Times New Roman" w:hAnsi="Times New Roman" w:eastAsia="Times New Roman" w:cs="Times New Roman"/>
          <w:b/>
          <w:rtl w:val="0"/>
        </w:rPr>
        <w:t>GBDT</w:t>
      </w:r>
      <w:r>
        <w:rPr>
          <w:rFonts w:ascii="Times New Roman" w:hAnsi="Times New Roman" w:eastAsia="Times New Roman" w:cs="Times New Roman"/>
          <w:rtl w:val="0"/>
        </w:rPr>
        <w:t xml:space="preserve"> model for all subsequent variance decomposition analyses. Using the superior GBDT approach, we systematically identified metabolites influenced by single versus multiple body site microbiomes.</w:t>
      </w:r>
    </w:p>
    <w:p w14:paraId="00000033">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first identified 380 (46.68%) circulating metabolites whose inter-individual variation could be explained by microbiomes from at least one body site (adjusted R</w:t>
      </w:r>
      <w:r>
        <w:rPr>
          <w:rFonts w:ascii="Times New Roman" w:hAnsi="Times New Roman" w:eastAsia="Times New Roman" w:cs="Times New Roman"/>
          <w:vertAlign w:val="superscript"/>
          <w:rtl w:val="0"/>
        </w:rPr>
        <w:t xml:space="preserve">2 </w:t>
      </w:r>
      <w:r>
        <w:rPr>
          <w:rFonts w:ascii="Times New Roman" w:hAnsi="Times New Roman" w:eastAsia="Times New Roman" w:cs="Times New Roman"/>
          <w:rtl w:val="0"/>
        </w:rPr>
        <w:t>&gt; 5%), with 256 (31.45%) of these exhibiting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greater than</w:t>
      </w:r>
      <w:r>
        <w:rPr>
          <w:rFonts w:ascii="Times New Roman" w:hAnsi="Times New Roman" w:eastAsia="Times New Roman" w:cs="Times New Roman"/>
          <w:b/>
          <w:rtl w:val="0"/>
        </w:rPr>
        <w:t xml:space="preserve"> </w:t>
      </w:r>
      <w:r>
        <w:rPr>
          <w:rFonts w:ascii="Times New Roman" w:hAnsi="Times New Roman" w:eastAsia="Times New Roman" w:cs="Times New Roman"/>
          <w:rtl w:val="0"/>
        </w:rPr>
        <w:t>10% based on GBDT modeling (</w:t>
      </w:r>
      <w:r>
        <w:rPr>
          <w:rFonts w:ascii="Times New Roman" w:hAnsi="Times New Roman" w:eastAsia="Times New Roman" w:cs="Times New Roman"/>
          <w:b/>
          <w:rtl w:val="0"/>
        </w:rPr>
        <w:t>Fig. 3a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5</w:t>
      </w:r>
      <w:r>
        <w:rPr>
          <w:rFonts w:ascii="Times New Roman" w:hAnsi="Times New Roman" w:eastAsia="Times New Roman" w:cs="Times New Roman"/>
          <w:rtl w:val="0"/>
        </w:rPr>
        <w:t>;</w:t>
      </w:r>
      <w:r>
        <w:rPr>
          <w:rFonts w:ascii="Times New Roman" w:hAnsi="Times New Roman" w:eastAsia="Times New Roman" w:cs="Times New Roman"/>
          <w:b/>
          <w:rtl w:val="0"/>
        </w:rPr>
        <w:t xml:space="preserve"> Methods</w:t>
      </w:r>
      <w:r>
        <w:rPr>
          <w:rFonts w:ascii="Times New Roman" w:hAnsi="Times New Roman" w:eastAsia="Times New Roman" w:cs="Times New Roman"/>
          <w:rtl w:val="0"/>
        </w:rPr>
        <w:t>). To evaluate the relative influence of each type of microbiome, we classified these 256 metabolites according to the microbiome that contributed the largest share of explained variance, categorizing them as gut, oral, skin, or nasal-dominated metabolites (</w:t>
      </w:r>
      <w:r>
        <w:rPr>
          <w:rFonts w:ascii="Times New Roman" w:hAnsi="Times New Roman" w:eastAsia="Times New Roman" w:cs="Times New Roman"/>
          <w:b/>
          <w:rtl w:val="0"/>
        </w:rPr>
        <w:t>Fig. 3a</w:t>
      </w:r>
      <w:r>
        <w:rPr>
          <w:rFonts w:ascii="Times New Roman" w:hAnsi="Times New Roman" w:eastAsia="Times New Roman" w:cs="Times New Roman"/>
          <w:rtl w:val="0"/>
        </w:rPr>
        <w:t>). Specifically, 165 metabolites were dominated by the gut microbiome, followed by 35, 30, and 26 metabolites for the oral, nasal, and skin microbiomes, respectively. This distribution is mostly consistent with our above findings, further supporting the conclusion that the gut microbiome has the most substantial impact on the plasma metabolome among all body sites' microbiomes examined.</w:t>
      </w:r>
    </w:p>
    <w:p w14:paraId="00000034">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 xml:space="preserve">As expected, several metabolites that showed strong associations with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such as p-cresol and PAGln, were significantly influenced and well predicted by the gut microbiome in the GBDT model (</w:t>
      </w:r>
      <w:r>
        <w:rPr>
          <w:rFonts w:ascii="Times New Roman" w:hAnsi="Times New Roman" w:eastAsia="Times New Roman" w:cs="Times New Roman"/>
          <w:b/>
          <w:rtl w:val="0"/>
        </w:rPr>
        <w:t>Fig. 3b, c</w:t>
      </w:r>
      <w:r>
        <w:rPr>
          <w:rFonts w:ascii="Times New Roman" w:hAnsi="Times New Roman" w:eastAsia="Times New Roman" w:cs="Times New Roman"/>
          <w:rtl w:val="0"/>
        </w:rPr>
        <w:t>). To assess the robustness of these predictions, we applied the GBDT model to validation cohort 2 (</w:t>
      </w:r>
      <w:r>
        <w:rPr>
          <w:rFonts w:ascii="Times New Roman" w:hAnsi="Times New Roman" w:eastAsia="Times New Roman" w:cs="Times New Roman"/>
          <w:b/>
          <w:rtl w:val="0"/>
        </w:rPr>
        <w:t>Methods</w:t>
      </w:r>
      <w:r>
        <w:rPr>
          <w:rFonts w:ascii="Times New Roman" w:hAnsi="Times New Roman" w:eastAsia="Times New Roman" w:cs="Times New Roman"/>
          <w:rtl w:val="0"/>
        </w:rPr>
        <w:t>). Approximately one-third of the</w:t>
      </w:r>
      <w:r>
        <w:rPr>
          <w:rFonts w:ascii="Times New Roman" w:hAnsi="Times New Roman" w:eastAsia="Times New Roman" w:cs="Times New Roman"/>
          <w:b/>
          <w:rtl w:val="0"/>
        </w:rPr>
        <w:t xml:space="preserve"> </w:t>
      </w:r>
      <w:r>
        <w:rPr>
          <w:rFonts w:ascii="Times New Roman" w:hAnsi="Times New Roman" w:eastAsia="Times New Roman" w:cs="Times New Roman"/>
          <w:rtl w:val="0"/>
        </w:rPr>
        <w:t>metabolites (30 out of 111, 27.0%) could be successfully predicted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&gt; 10%; </w:t>
      </w:r>
      <w:r>
        <w:rPr>
          <w:rFonts w:ascii="Times New Roman" w:hAnsi="Times New Roman" w:eastAsia="Times New Roman" w:cs="Times New Roman"/>
          <w:b/>
          <w:rtl w:val="0"/>
        </w:rPr>
        <w:t>Supplementary Fig. 3b</w:t>
      </w:r>
      <w:r>
        <w:rPr>
          <w:rFonts w:ascii="Times New Roman" w:hAnsi="Times New Roman" w:eastAsia="Times New Roman" w:cs="Times New Roman"/>
          <w:rtl w:val="0"/>
        </w:rPr>
        <w:t>), with the best-predicted metabolites largely overlapping with previously identified microbiota-derived metabolites (</w:t>
      </w:r>
      <w:r>
        <w:rPr>
          <w:rFonts w:ascii="Times New Roman" w:hAnsi="Times New Roman" w:eastAsia="Times New Roman" w:cs="Times New Roman"/>
          <w:b/>
          <w:rtl w:val="0"/>
        </w:rPr>
        <w:t>Supplementary Fig. 3c</w:t>
      </w:r>
      <w:r>
        <w:rPr>
          <w:rFonts w:ascii="Times New Roman" w:hAnsi="Times New Roman" w:eastAsia="Times New Roman" w:cs="Times New Roman"/>
          <w:rtl w:val="0"/>
        </w:rPr>
        <w:t>). These results suggest that gut microbiome-metabolite associations, particularly for microbiota-derived metabolites, are reproducible across independent cohorts. Interestingly, several metabolites, including Piperidine, Phenylalanylphenylalanine, O-Succinyl-L-homoserine, Edetic acid, Asymmetric dimethylarginine, and Aminoisobutyric acid, were influenced by microbiomes from all four body sites simultaneously (</w:t>
      </w:r>
      <w:r>
        <w:rPr>
          <w:rFonts w:ascii="Times New Roman" w:hAnsi="Times New Roman" w:eastAsia="Times New Roman" w:cs="Times New Roman"/>
          <w:b/>
          <w:rtl w:val="0"/>
        </w:rPr>
        <w:t>Fig. 3a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5</w:t>
      </w:r>
      <w:r>
        <w:rPr>
          <w:rFonts w:ascii="Times New Roman" w:hAnsi="Times New Roman" w:eastAsia="Times New Roman" w:cs="Times New Roman"/>
          <w:rtl w:val="0"/>
        </w:rPr>
        <w:t xml:space="preserve">). </w:t>
      </w:r>
    </w:p>
    <w:p w14:paraId="00000035">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subsequently performed metabolite class enrichment analysis to examine whether microbiomes from different body sites preferentially influenced specific classes of circulating metabolites (</w:t>
      </w:r>
      <w:r>
        <w:rPr>
          <w:rFonts w:ascii="Times New Roman" w:hAnsi="Times New Roman" w:eastAsia="Times New Roman" w:cs="Times New Roman"/>
          <w:b/>
          <w:rtl w:val="0"/>
        </w:rPr>
        <w:t>Supplementary Table 6</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The gut microbiome showed significant enrichment for influencing metabolites classified as benzene and substituted derivatives (</w:t>
      </w:r>
      <w:r>
        <w:rPr>
          <w:rFonts w:ascii="Times New Roman" w:hAnsi="Times New Roman" w:eastAsia="Times New Roman" w:cs="Times New Roman"/>
          <w:i/>
          <w:rtl w:val="0"/>
        </w:rPr>
        <w:t>e.g.</w:t>
      </w:r>
      <w:r>
        <w:rPr>
          <w:rFonts w:ascii="Times New Roman" w:hAnsi="Times New Roman" w:eastAsia="Times New Roman" w:cs="Times New Roman"/>
          <w:rtl w:val="0"/>
        </w:rPr>
        <w:t>, Hippuric acid; hypergeometric test, P &lt; 0.05) and organooxygen metabolites (</w:t>
      </w:r>
      <w:r>
        <w:rPr>
          <w:rFonts w:ascii="Times New Roman" w:hAnsi="Times New Roman" w:eastAsia="Times New Roman" w:cs="Times New Roman"/>
          <w:i/>
          <w:rtl w:val="0"/>
        </w:rPr>
        <w:t>e.g.</w:t>
      </w:r>
      <w:r>
        <w:rPr>
          <w:rFonts w:ascii="Times New Roman" w:hAnsi="Times New Roman" w:eastAsia="Times New Roman" w:cs="Times New Roman"/>
          <w:rtl w:val="0"/>
        </w:rPr>
        <w:t>, p-cresol glucuronide; P &lt; 0.05) (</w:t>
      </w:r>
      <w:r>
        <w:rPr>
          <w:rFonts w:ascii="Times New Roman" w:hAnsi="Times New Roman" w:eastAsia="Times New Roman" w:cs="Times New Roman"/>
          <w:b/>
          <w:rtl w:val="0"/>
        </w:rPr>
        <w:t>Fig. 3d</w:t>
      </w:r>
      <w:r>
        <w:rPr>
          <w:rFonts w:ascii="Times New Roman" w:hAnsi="Times New Roman" w:eastAsia="Times New Roman" w:cs="Times New Roman"/>
          <w:rtl w:val="0"/>
        </w:rPr>
        <w:t>). This observation is consistent with previous studies that the gut microbiome plays a central role in the metabolism of aromatic amino acids, which often give rise to benzene derivatives and organooxygen metabolites</w:t>
      </w:r>
      <w:r>
        <w:fldChar w:fldCharType="begin"/>
      </w:r>
      <w:r>
        <w:instrText xml:space="preserve"> HYPERLINK "https://www.zotero.org/google-docs/?3cypoV" \h </w:instrText>
      </w:r>
      <w:r>
        <w:fldChar w:fldCharType="separate"/>
      </w:r>
      <w:r>
        <w:rPr>
          <w:rFonts w:ascii="Times New Roman" w:hAnsi="Times New Roman" w:eastAsia="Times New Roman" w:cs="Times New Roman"/>
          <w:shd w:val="clear" w:fill="auto"/>
          <w:vertAlign w:val="superscript"/>
          <w:rtl w:val="0"/>
        </w:rPr>
        <w:t>55,56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In contrast, the oral microbiome showed a strong enrichment for indoles and their derivatives (</w:t>
      </w:r>
      <w:r>
        <w:rPr>
          <w:rFonts w:ascii="Times New Roman" w:hAnsi="Times New Roman" w:eastAsia="Times New Roman" w:cs="Times New Roman"/>
          <w:i/>
          <w:rtl w:val="0"/>
        </w:rPr>
        <w:t>e.g.</w:t>
      </w:r>
      <w:r>
        <w:rPr>
          <w:rFonts w:ascii="Times New Roman" w:hAnsi="Times New Roman" w:eastAsia="Times New Roman" w:cs="Times New Roman"/>
          <w:rtl w:val="0"/>
        </w:rPr>
        <w:t>, indole, P &lt; 0.05) (</w:t>
      </w:r>
      <w:r>
        <w:rPr>
          <w:rFonts w:ascii="Times New Roman" w:hAnsi="Times New Roman" w:eastAsia="Times New Roman" w:cs="Times New Roman"/>
          <w:b/>
          <w:rtl w:val="0"/>
        </w:rPr>
        <w:t>Fig. 3d</w:t>
      </w:r>
      <w:r>
        <w:rPr>
          <w:rFonts w:ascii="Times New Roman" w:hAnsi="Times New Roman" w:eastAsia="Times New Roman" w:cs="Times New Roman"/>
          <w:rtl w:val="0"/>
        </w:rPr>
        <w:t>). This aligns with the known role of oral microbiome in degrading tryptophan to produce indole, and skatole, which contribute to oral malodor and local inflammation</w:t>
      </w:r>
      <w:r>
        <w:fldChar w:fldCharType="begin"/>
      </w:r>
      <w:r>
        <w:instrText xml:space="preserve"> HYPERLINK "https://www.zotero.org/google-docs/?wFAlv6" \h </w:instrText>
      </w:r>
      <w:r>
        <w:fldChar w:fldCharType="separate"/>
      </w:r>
      <w:r>
        <w:rPr>
          <w:rFonts w:ascii="Times New Roman" w:hAnsi="Times New Roman" w:eastAsia="Times New Roman" w:cs="Times New Roman"/>
          <w:shd w:val="clear" w:fill="auto"/>
          <w:vertAlign w:val="superscript"/>
          <w:rtl w:val="0"/>
        </w:rPr>
        <w:t>57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Both the skin and nasal microbiomes showed significant enrichment for influencing carboxylic acids and their derivatives (</w:t>
      </w:r>
      <w:r>
        <w:rPr>
          <w:rFonts w:ascii="Times New Roman" w:hAnsi="Times New Roman" w:eastAsia="Times New Roman" w:cs="Times New Roman"/>
          <w:i/>
          <w:rtl w:val="0"/>
        </w:rPr>
        <w:t>e.g.</w:t>
      </w:r>
      <w:r>
        <w:rPr>
          <w:rFonts w:ascii="Times New Roman" w:hAnsi="Times New Roman" w:eastAsia="Times New Roman" w:cs="Times New Roman"/>
          <w:rtl w:val="0"/>
        </w:rPr>
        <w:t>, Malonic acid, P &lt; 0.05) (</w:t>
      </w:r>
      <w:r>
        <w:rPr>
          <w:rFonts w:ascii="Times New Roman" w:hAnsi="Times New Roman" w:eastAsia="Times New Roman" w:cs="Times New Roman"/>
          <w:b/>
          <w:rtl w:val="0"/>
        </w:rPr>
        <w:t>Fig. 3d</w:t>
      </w:r>
      <w:r>
        <w:rPr>
          <w:rFonts w:ascii="Times New Roman" w:hAnsi="Times New Roman" w:eastAsia="Times New Roman" w:cs="Times New Roman"/>
          <w:rtl w:val="0"/>
        </w:rPr>
        <w:t xml:space="preserve">). </w:t>
      </w:r>
    </w:p>
    <w:p w14:paraId="00000036">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further performed enrichment analysis on metabolites jointly influenced by different body site microbiomes (</w:t>
      </w:r>
      <w:r>
        <w:rPr>
          <w:rFonts w:ascii="Times New Roman" w:hAnsi="Times New Roman" w:eastAsia="Times New Roman" w:cs="Times New Roman"/>
          <w:b/>
          <w:rtl w:val="0"/>
        </w:rPr>
        <w:t xml:space="preserve">Fig. 3e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6</w:t>
      </w:r>
      <w:r>
        <w:rPr>
          <w:rFonts w:ascii="Times New Roman" w:hAnsi="Times New Roman" w:eastAsia="Times New Roman" w:cs="Times New Roman"/>
          <w:rtl w:val="0"/>
        </w:rPr>
        <w:t>). Notably, metabolites jointly influenced by the oral and gut microbiomes were significantly enriched for amino acid-related pathways, particularly those involving tryptophan, histidine, and arginine metabolism (</w:t>
      </w:r>
      <w:r>
        <w:rPr>
          <w:rFonts w:ascii="Times New Roman" w:hAnsi="Times New Roman" w:eastAsia="Times New Roman" w:cs="Times New Roman"/>
          <w:b/>
          <w:rtl w:val="0"/>
        </w:rPr>
        <w:t>Fig. 3e</w:t>
      </w:r>
      <w:r>
        <w:rPr>
          <w:rFonts w:ascii="Times New Roman" w:hAnsi="Times New Roman" w:eastAsia="Times New Roman" w:cs="Times New Roman"/>
          <w:rtl w:val="0"/>
        </w:rPr>
        <w:t xml:space="preserve">). This observation reflects the complementary microbial processing occurring across these body sites. We hypothesize that tryptophan could undergo partial degradation to indole or kynurenine in the oral cavity, followed by further microbial transformation into indoleacetic acid or indole propionate in the gut by taxa such as </w:t>
      </w:r>
      <w:r>
        <w:rPr>
          <w:rFonts w:ascii="Times New Roman" w:hAnsi="Times New Roman" w:eastAsia="Times New Roman" w:cs="Times New Roman"/>
          <w:i/>
          <w:rtl w:val="0"/>
        </w:rPr>
        <w:t>Bacteroides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Clostridium spp.</w:t>
      </w:r>
      <w:r>
        <w:rPr>
          <w:rFonts w:ascii="Times New Roman" w:hAnsi="Times New Roman" w:eastAsia="Times New Roman" w:cs="Times New Roman"/>
          <w:rtl w:val="0"/>
        </w:rPr>
        <w:t>, potentially enabling cross-body site metabolic cooperation</w:t>
      </w:r>
      <w:r>
        <w:fldChar w:fldCharType="begin"/>
      </w:r>
      <w:r>
        <w:instrText xml:space="preserve"> HYPERLINK "https://www.zotero.org/google-docs/?oD2YNA" \h </w:instrText>
      </w:r>
      <w:r>
        <w:fldChar w:fldCharType="separate"/>
      </w:r>
      <w:r>
        <w:rPr>
          <w:rFonts w:ascii="Times New Roman" w:hAnsi="Times New Roman" w:eastAsia="Times New Roman" w:cs="Times New Roman"/>
          <w:shd w:val="clear" w:fill="auto"/>
          <w:vertAlign w:val="superscript"/>
          <w:rtl w:val="0"/>
        </w:rPr>
        <w:t>57,58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3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Given that many circulating metabolites were found to be jointly influenced by microbiomes from multiple body sites, we next investigated which body site pairs exhibited the greatest overlap in their metabolic influences. We found that the gut and oral microbiomes shared the largest number of jointly influenced metabolites, with 100 overlapping features (</w:t>
      </w:r>
      <w:r>
        <w:rPr>
          <w:rFonts w:ascii="Times New Roman" w:hAnsi="Times New Roman" w:eastAsia="Times New Roman" w:cs="Times New Roman"/>
          <w:b/>
          <w:rtl w:val="0"/>
        </w:rPr>
        <w:t>Fig. 3f,g</w:t>
      </w:r>
      <w:r>
        <w:rPr>
          <w:rFonts w:ascii="Times New Roman" w:hAnsi="Times New Roman" w:eastAsia="Times New Roman" w:cs="Times New Roman"/>
          <w:rtl w:val="0"/>
        </w:rPr>
        <w:t>). This observation aligns with our above results (</w:t>
      </w:r>
      <w:r>
        <w:rPr>
          <w:rFonts w:ascii="Times New Roman" w:hAnsi="Times New Roman" w:eastAsia="Times New Roman" w:cs="Times New Roman"/>
          <w:b/>
          <w:rtl w:val="0"/>
        </w:rPr>
        <w:t>Fig. 1h</w:t>
      </w:r>
      <w:r>
        <w:rPr>
          <w:rFonts w:ascii="Times New Roman" w:hAnsi="Times New Roman" w:eastAsia="Times New Roman" w:cs="Times New Roman"/>
          <w:rtl w:val="0"/>
        </w:rPr>
        <w:t>) and previous studies describing functional and microbial communication between the oral and gut ecosystems, commonly referred to as the oral-gut axis</w:t>
      </w:r>
      <w:r>
        <w:fldChar w:fldCharType="begin"/>
      </w:r>
      <w:r>
        <w:instrText xml:space="preserve"> HYPERLINK "https://www.zotero.org/google-docs/?f5xWHf" \h </w:instrText>
      </w:r>
      <w:r>
        <w:fldChar w:fldCharType="separate"/>
      </w:r>
      <w:r>
        <w:rPr>
          <w:rFonts w:ascii="Times New Roman" w:hAnsi="Times New Roman" w:eastAsia="Times New Roman" w:cs="Times New Roman"/>
          <w:shd w:val="clear" w:fill="auto"/>
          <w:vertAlign w:val="superscript"/>
          <w:rtl w:val="0"/>
        </w:rPr>
        <w:t>16,59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Among the metabolites co-regulated by the oral and gut microbiomes were several previously noted examples, including Piperidine, O-Succinyl-L-homoserine, and aminoisobutyric acid, as well as key aromatic amino acid derivatives such as tryptophan, indole, indoleacetic acid, and indolelactic acid</w:t>
      </w:r>
      <w:r>
        <w:fldChar w:fldCharType="begin"/>
      </w:r>
      <w:r>
        <w:instrText xml:space="preserve"> HYPERLINK "https://www.zotero.org/google-docs/?wVjGzC" \h </w:instrText>
      </w:r>
      <w:r>
        <w:fldChar w:fldCharType="separate"/>
      </w:r>
      <w:r>
        <w:rPr>
          <w:rFonts w:ascii="Times New Roman" w:hAnsi="Times New Roman" w:eastAsia="Times New Roman" w:cs="Times New Roman"/>
          <w:shd w:val="clear" w:fill="auto"/>
          <w:vertAlign w:val="superscript"/>
          <w:rtl w:val="0"/>
        </w:rPr>
        <w:t>58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3h</w:t>
      </w:r>
      <w:r>
        <w:rPr>
          <w:rFonts w:ascii="Times New Roman" w:hAnsi="Times New Roman" w:eastAsia="Times New Roman" w:cs="Times New Roman"/>
          <w:rtl w:val="0"/>
        </w:rPr>
        <w:t>). Notably, these jointly influenced metabolites also tended to exhibit higher explained variance overall, further supporting the coordinated and potentially synergistic roles of the oral and gut microbiome in influencing plasma metabolic profiles (</w:t>
      </w:r>
      <w:r>
        <w:rPr>
          <w:rFonts w:ascii="Times New Roman" w:hAnsi="Times New Roman" w:eastAsia="Times New Roman" w:cs="Times New Roman"/>
          <w:b/>
          <w:rtl w:val="0"/>
        </w:rPr>
        <w:t>Fig. 3h</w:t>
      </w:r>
      <w:r>
        <w:rPr>
          <w:rFonts w:ascii="Times New Roman" w:hAnsi="Times New Roman" w:eastAsia="Times New Roman" w:cs="Times New Roman"/>
          <w:rtl w:val="0"/>
        </w:rPr>
        <w:t>).</w:t>
      </w:r>
    </w:p>
    <w:p w14:paraId="0000003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Together, these findings reveal that the human plasma metabolome is influenced not only by individual body site microbiomes but also through cooperative influences across body sites, particularly between the oral and gut microbiomes. The strong overlap in metabolite regulation by these two body sites suggests a coordinated oral-gut microbiome-metabolome axis. The strong overlap in metabolite regulation between oral and gut microbiomes, particularly for amino acid-related pathways, suggested potential synergistic interactions. We therefore developed models to explicitly test for cross-body site microbial cooperation.</w:t>
      </w:r>
    </w:p>
    <w:p w14:paraId="00000039">
      <w:pPr>
        <w:spacing w:after="0" w:line="276" w:lineRule="auto"/>
        <w:jc w:val="both"/>
        <w:rPr>
          <w:rFonts w:ascii="Times New Roman" w:hAnsi="Times New Roman" w:eastAsia="Times New Roman" w:cs="Times New Roman"/>
          <w:b/>
        </w:rPr>
      </w:pPr>
    </w:p>
    <w:p w14:paraId="0000003A">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Oral and Gut Microbiome Synergistically Regulate Circulating Metabolites Through Cross-Body Site Microbial Interactions</w:t>
      </w:r>
    </w:p>
    <w:p w14:paraId="0000003B">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Given the strong joint influence of the oral and gut microbiomes on circulating metabolites observed above (</w:t>
      </w:r>
      <w:r>
        <w:rPr>
          <w:rFonts w:ascii="Times New Roman" w:hAnsi="Times New Roman" w:eastAsia="Times New Roman" w:cs="Times New Roman"/>
          <w:b/>
          <w:rtl w:val="0"/>
        </w:rPr>
        <w:t>Fig. 3f-h</w:t>
      </w:r>
      <w:r>
        <w:rPr>
          <w:rFonts w:ascii="Times New Roman" w:hAnsi="Times New Roman" w:eastAsia="Times New Roman" w:cs="Times New Roman"/>
          <w:rtl w:val="0"/>
        </w:rPr>
        <w:t>), and some studies have found common metabolic effects of oral and gut microbiota on nitrite and short-chain fatty acids</w:t>
      </w:r>
      <w:r>
        <w:fldChar w:fldCharType="begin"/>
      </w:r>
      <w:r>
        <w:instrText xml:space="preserve"> HYPERLINK "https://www.zotero.org/google-docs/?4wFj0Y" \h </w:instrText>
      </w:r>
      <w:r>
        <w:fldChar w:fldCharType="separate"/>
      </w:r>
      <w:r>
        <w:rPr>
          <w:rFonts w:ascii="Times New Roman" w:hAnsi="Times New Roman" w:eastAsia="Times New Roman" w:cs="Times New Roman"/>
          <w:shd w:val="clear" w:fill="auto"/>
          <w:vertAlign w:val="superscript"/>
          <w:rtl w:val="0"/>
        </w:rPr>
        <w:t>60,61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 next sought to quantitatively assess whether these two body site microbiomes interact synergistically to regulate circulating metabolites. To this end, we constructed a joint GBDT model incorporating both oral and gut microbiomes, explicitly including interaction terms between taxa from the two body sites (</w:t>
      </w:r>
      <w:r>
        <w:rPr>
          <w:rFonts w:ascii="Times New Roman" w:hAnsi="Times New Roman" w:eastAsia="Times New Roman" w:cs="Times New Roman"/>
          <w:b/>
          <w:rtl w:val="0"/>
        </w:rPr>
        <w:t>Fig. 4a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To identify the specific taxa driving these interactions, we compiled all significant cross-body site relationships. As expected, we found that for 97% of the metabolites (97/100), the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of the joint model exceeded the sum of those from the individual oral- and gut-only models (</w:t>
      </w:r>
      <w:r>
        <w:rPr>
          <w:rFonts w:ascii="Times New Roman" w:hAnsi="Times New Roman" w:eastAsia="Times New Roman" w:cs="Times New Roman"/>
          <w:b/>
          <w:rtl w:val="0"/>
        </w:rPr>
        <w:t xml:space="preserve">Fig. 4b </w:t>
      </w:r>
      <w:r>
        <w:rPr>
          <w:rFonts w:ascii="Times New Roman" w:hAnsi="Times New Roman" w:eastAsia="Times New Roman" w:cs="Times New Roman"/>
          <w:rtl w:val="0"/>
        </w:rPr>
        <w:t>and</w:t>
      </w:r>
      <w:r>
        <w:rPr>
          <w:rFonts w:ascii="Times New Roman" w:hAnsi="Times New Roman" w:eastAsia="Times New Roman" w:cs="Times New Roman"/>
          <w:b/>
          <w:rtl w:val="0"/>
        </w:rPr>
        <w:t xml:space="preserve"> Supplementary Table 7</w:t>
      </w:r>
      <w:r>
        <w:rPr>
          <w:rFonts w:ascii="Times New Roman" w:hAnsi="Times New Roman" w:eastAsia="Times New Roman" w:cs="Times New Roman"/>
          <w:rtl w:val="0"/>
        </w:rPr>
        <w:t xml:space="preserve">), indicating synergistic effects between them. Furthermore, the number of significant interaction terms in the joint model was comparable to the gut-only model but significantly greater than that of the oral-only model (Wilcoxon test, P &lt; 0.001; </w:t>
      </w:r>
      <w:r>
        <w:rPr>
          <w:rFonts w:ascii="Times New Roman" w:hAnsi="Times New Roman" w:eastAsia="Times New Roman" w:cs="Times New Roman"/>
          <w:b/>
          <w:rtl w:val="0"/>
        </w:rPr>
        <w:t>Supplementary Fig. 4a,b</w:t>
      </w:r>
      <w:r>
        <w:rPr>
          <w:rFonts w:ascii="Times New Roman" w:hAnsi="Times New Roman" w:eastAsia="Times New Roman" w:cs="Times New Roman"/>
          <w:rtl w:val="0"/>
        </w:rPr>
        <w:t>). Importantly, the contribution of interaction features in the joint model far exceeded those from either body site alone, with particularly high contributions observed for metabolites involved in histidine, arginine, and lysine (</w:t>
      </w:r>
      <w:r>
        <w:rPr>
          <w:rFonts w:ascii="Times New Roman" w:hAnsi="Times New Roman" w:eastAsia="Times New Roman" w:cs="Times New Roman"/>
          <w:b/>
          <w:rtl w:val="0"/>
        </w:rPr>
        <w:t>Fig. 4a</w:t>
      </w:r>
      <w:r>
        <w:rPr>
          <w:rFonts w:ascii="Times New Roman" w:hAnsi="Times New Roman" w:eastAsia="Times New Roman" w:cs="Times New Roman"/>
          <w:rtl w:val="0"/>
        </w:rPr>
        <w:t>). This modeling approach revealed extensive synergistic effects. Together, these results reveal that the oral and gut microbiomes do not act independently but instead interact extensively to modulate many circulating metabolites, underscoring the importance of oral-gut microbiome cooperation in regulating circulating metabolites.</w:t>
      </w:r>
    </w:p>
    <w:p w14:paraId="0000003C">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gain deeper insight into how the oral and gut microbiomes interact to influence circulating metabolites, we next investigated which specific microbial taxa (genera) participate most prominently in these oral-gut microbial interactions. We systematically compiled all genera involved in significant interaction terms across the GBDT models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8</w:t>
      </w:r>
      <w:r>
        <w:rPr>
          <w:rFonts w:ascii="Times New Roman" w:hAnsi="Times New Roman" w:eastAsia="Times New Roman" w:cs="Times New Roman"/>
          <w:rtl w:val="0"/>
        </w:rPr>
        <w:t>). In the gut microbiome,</w:t>
      </w:r>
      <w:r>
        <w:rPr>
          <w:rFonts w:ascii="Times New Roman" w:hAnsi="Times New Roman" w:eastAsia="Times New Roman" w:cs="Times New Roman"/>
          <w:i/>
          <w:rtl w:val="0"/>
        </w:rPr>
        <w:t> Bifidobacterium </w:t>
      </w:r>
      <w:r>
        <w:rPr>
          <w:rFonts w:ascii="Times New Roman" w:hAnsi="Times New Roman" w:eastAsia="Times New Roman" w:cs="Times New Roman"/>
          <w:rtl w:val="0"/>
        </w:rPr>
        <w:t>emerged as the genus most frequently involved in interaction terms, contributing to the regulation of 23 circulating metabolites (</w:t>
      </w:r>
      <w:r>
        <w:rPr>
          <w:rFonts w:ascii="Times New Roman" w:hAnsi="Times New Roman" w:eastAsia="Times New Roman" w:cs="Times New Roman"/>
          <w:b/>
          <w:rtl w:val="0"/>
        </w:rPr>
        <w:t>Fig. 4c</w:t>
      </w:r>
      <w:r>
        <w:rPr>
          <w:rFonts w:ascii="Times New Roman" w:hAnsi="Times New Roman" w:eastAsia="Times New Roman" w:cs="Times New Roman"/>
          <w:rtl w:val="0"/>
        </w:rPr>
        <w:t>). In the oral microbiome, </w:t>
      </w:r>
      <w:r>
        <w:rPr>
          <w:rFonts w:ascii="Times New Roman" w:hAnsi="Times New Roman" w:eastAsia="Times New Roman" w:cs="Times New Roman"/>
          <w:i/>
          <w:rtl w:val="0"/>
        </w:rPr>
        <w:t>Enterococcus</w:t>
      </w:r>
      <w:r>
        <w:rPr>
          <w:rFonts w:ascii="Times New Roman" w:hAnsi="Times New Roman" w:eastAsia="Times New Roman" w:cs="Times New Roman"/>
          <w:rtl w:val="0"/>
        </w:rPr>
        <w:t> was the most prominent genus, participating in interactions associated with 29 metabolites (</w:t>
      </w:r>
      <w:r>
        <w:rPr>
          <w:rFonts w:ascii="Times New Roman" w:hAnsi="Times New Roman" w:eastAsia="Times New Roman" w:cs="Times New Roman"/>
          <w:b/>
          <w:rtl w:val="0"/>
        </w:rPr>
        <w:t>Fig. 4c</w:t>
      </w:r>
      <w:r>
        <w:rPr>
          <w:rFonts w:ascii="Times New Roman" w:hAnsi="Times New Roman" w:eastAsia="Times New Roman" w:cs="Times New Roman"/>
          <w:rtl w:val="0"/>
        </w:rPr>
        <w:t xml:space="preserve">). We then examined the metabolite classes of the metabolites most strongly influenced by these genera-specific interactions. Notably, carboxylic acids and derivatives constituted the dominant class affected by both </w:t>
      </w:r>
      <w:r>
        <w:rPr>
          <w:rFonts w:ascii="Times New Roman" w:hAnsi="Times New Roman" w:eastAsia="Times New Roman" w:cs="Times New Roman"/>
          <w:i/>
          <w:rtl w:val="0"/>
        </w:rPr>
        <w:t>Bifidobacterium</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Enterococcus</w:t>
      </w:r>
      <w:r>
        <w:rPr>
          <w:rFonts w:ascii="Times New Roman" w:hAnsi="Times New Roman" w:eastAsia="Times New Roman" w:cs="Times New Roman"/>
          <w:rtl w:val="0"/>
        </w:rPr>
        <w:t>, accounting for 56.52% and 48.28% of their respective associated metabolites (</w:t>
      </w:r>
      <w:r>
        <w:rPr>
          <w:rFonts w:ascii="Times New Roman" w:hAnsi="Times New Roman" w:eastAsia="Times New Roman" w:cs="Times New Roman"/>
          <w:b/>
          <w:rtl w:val="0"/>
        </w:rPr>
        <w:t>Fig. 4c</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8</w:t>
      </w:r>
      <w:r>
        <w:rPr>
          <w:rFonts w:ascii="Times New Roman" w:hAnsi="Times New Roman" w:eastAsia="Times New Roman" w:cs="Times New Roman"/>
          <w:rtl w:val="0"/>
        </w:rPr>
        <w:t>). These findings suggest that cross-body site microbial interactions between oral and gut converge on shared metabolic pathways, particularly those involved in carboxylic acid metabolism, highlighting the biochemical coordination between anatomically distant microbial communities in modulating systemic host metabolism.</w:t>
      </w:r>
    </w:p>
    <w:p w14:paraId="0000003D">
      <w:pPr>
        <w:spacing w:after="0" w:line="276" w:lineRule="auto"/>
        <w:ind w:firstLine="720"/>
        <w:jc w:val="both"/>
        <w:rPr>
          <w:rFonts w:ascii="Times New Roman" w:hAnsi="Times New Roman" w:eastAsia="Times New Roman" w:cs="Times New Roman"/>
          <w:sz w:val="20"/>
          <w:szCs w:val="20"/>
        </w:rPr>
      </w:pPr>
      <w:r>
        <w:rPr>
          <w:rFonts w:ascii="Times New Roman" w:hAnsi="Times New Roman" w:eastAsia="Times New Roman" w:cs="Times New Roman"/>
          <w:rtl w:val="0"/>
        </w:rPr>
        <w:t xml:space="preserve">To illustrate how oral and gut microbiomes can jointly influence circulating metabolites through cross-body site microbial interactions, we examined two representative examples involving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from the oral microbiome and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from the gut microbiome. These two genera exhibited coordinated effects on the levels of tryptophan and its derivative, 5-hydroxy-L-tryptophan (5-HTP), in circulation (</w:t>
      </w:r>
      <w:r>
        <w:rPr>
          <w:rFonts w:ascii="Times New Roman" w:hAnsi="Times New Roman" w:eastAsia="Times New Roman" w:cs="Times New Roman"/>
          <w:b/>
          <w:rtl w:val="0"/>
        </w:rPr>
        <w:t>Fig. 4d,e</w:t>
      </w:r>
      <w:r>
        <w:rPr>
          <w:rFonts w:ascii="Times New Roman" w:hAnsi="Times New Roman" w:eastAsia="Times New Roman" w:cs="Times New Roman"/>
          <w:rtl w:val="0"/>
        </w:rPr>
        <w:t xml:space="preserve">). Specifically, the relative abundance of </w:t>
      </w:r>
      <w:r>
        <w:rPr>
          <w:rFonts w:ascii="Times New Roman" w:hAnsi="Times New Roman" w:eastAsia="Times New Roman" w:cs="Times New Roman"/>
          <w:i/>
          <w:rtl w:val="0"/>
        </w:rPr>
        <w:t xml:space="preserve">Enterococcus </w:t>
      </w:r>
      <w:r>
        <w:rPr>
          <w:rFonts w:ascii="Times New Roman" w:hAnsi="Times New Roman" w:eastAsia="Times New Roman" w:cs="Times New Roman"/>
          <w:rtl w:val="0"/>
        </w:rPr>
        <w:t xml:space="preserve">from the oral microbiome modulated both the strength and direction of the correlation between </w:t>
      </w:r>
      <w:r>
        <w:rPr>
          <w:rFonts w:ascii="Times New Roman" w:hAnsi="Times New Roman" w:eastAsia="Times New Roman" w:cs="Times New Roman"/>
          <w:i/>
          <w:rtl w:val="0"/>
        </w:rPr>
        <w:t xml:space="preserve">Paraprevotella </w:t>
      </w:r>
      <w:r>
        <w:rPr>
          <w:rFonts w:ascii="Times New Roman" w:hAnsi="Times New Roman" w:eastAsia="Times New Roman" w:cs="Times New Roman"/>
          <w:rtl w:val="0"/>
        </w:rPr>
        <w:t xml:space="preserve">from the gut microbiome and these metabolites. At low levels of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showed a strong positive correlation with tryptophan and 5-HTP, suggesting it played a primary role in their biosynthesis or regulation. However, as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abundance increased, the influence of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diminished, eventually becoming neutral or even negative (</w:t>
      </w:r>
      <w:r>
        <w:rPr>
          <w:rFonts w:ascii="Times New Roman" w:hAnsi="Times New Roman" w:eastAsia="Times New Roman" w:cs="Times New Roman"/>
          <w:b/>
          <w:rtl w:val="0"/>
        </w:rPr>
        <w:t>Fig. 4d,e</w:t>
      </w:r>
      <w:r>
        <w:rPr>
          <w:rFonts w:ascii="Times New Roman" w:hAnsi="Times New Roman" w:eastAsia="Times New Roman" w:cs="Times New Roman"/>
          <w:rtl w:val="0"/>
        </w:rPr>
        <w:t xml:space="preserve">). This interaction pattern implies a competitive or antagonistic relationship between the two genera at higher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levels, potentially through substrate competition, inhibitory metabolite production, or host-mediated responses. Both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have been implicated in microbial tryptophan metabolism pathways, including decarboxylation and transamination processes</w:t>
      </w:r>
      <w:r>
        <w:fldChar w:fldCharType="begin"/>
      </w:r>
      <w:r>
        <w:instrText xml:space="preserve"> HYPERLINK "https://www.zotero.org/google-docs/?HlikAW" \h </w:instrText>
      </w:r>
      <w:r>
        <w:fldChar w:fldCharType="separate"/>
      </w:r>
      <w:r>
        <w:rPr>
          <w:rFonts w:ascii="Times New Roman" w:hAnsi="Times New Roman" w:eastAsia="Times New Roman" w:cs="Times New Roman"/>
          <w:shd w:val="clear" w:fill="auto"/>
          <w:vertAlign w:val="superscript"/>
          <w:rtl w:val="0"/>
        </w:rPr>
        <w:t>62,63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supporting the plausibility of such cross-body site metabolic modulation. These findings exemplify how microbial dynamics across the oral and gut can converge to regulate key metabolic pathways systemically, particularly those involving amino acid-derived neuromodulatory and immunomodulatory compounds. These synergistic interactions raised the question of whether there might be directional relationships between oral and gut microbiomes in their influence on circulating metabolites, potentially reflecting the anatomical flow from the oral cavity to the gut.</w:t>
      </w:r>
    </w:p>
    <w:p w14:paraId="0000003E">
      <w:pPr>
        <w:spacing w:after="0" w:line="276" w:lineRule="auto"/>
        <w:jc w:val="both"/>
        <w:rPr>
          <w:rFonts w:ascii="Times New Roman" w:hAnsi="Times New Roman" w:eastAsia="Times New Roman" w:cs="Times New Roman"/>
          <w:b/>
        </w:rPr>
      </w:pPr>
    </w:p>
    <w:p w14:paraId="0000003F">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Oral-Gut Microbiome-Metabolome Axis Mediates Coordinated Metabolism of Circulating Metabolites</w:t>
      </w:r>
    </w:p>
    <w:p w14:paraId="00000040">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Building on our finding that the human plasma metabolome is influenced by cooperative influences across body sites, particularly between the oral and gut microbiomes, we next investigated whether directed mediating effects exist between these two microbial communities in influencing circulating metabolites. Previous studies have suggested that the oral-gut axis may facilitate sequential co-metabolism of dietary substrates, where compounds initially modified by oral microbiota are further processed by gut microbiota</w:t>
      </w:r>
      <w:r>
        <w:fldChar w:fldCharType="begin"/>
      </w:r>
      <w:r>
        <w:instrText xml:space="preserve"> HYPERLINK "https://www.zotero.org/google-docs/?5vh5dB" \h </w:instrText>
      </w:r>
      <w:r>
        <w:fldChar w:fldCharType="separate"/>
      </w:r>
      <w:r>
        <w:rPr>
          <w:rFonts w:ascii="Times New Roman" w:hAnsi="Times New Roman" w:eastAsia="Times New Roman" w:cs="Times New Roman"/>
          <w:shd w:val="clear" w:fill="auto"/>
          <w:vertAlign w:val="superscript"/>
          <w:rtl w:val="0"/>
        </w:rPr>
        <w:t>64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examine this possibility, we constructed bidirectional mediation models to test two hypotheses: (1) an oral-gut-metabolite pathway, where the oral microbiome modifies substrates that are subsequently metabolized by the gut microbiome, and (2) a gut-oral-metabolite pathway, where the direction of influence is reversed (</w:t>
      </w:r>
      <w:r>
        <w:rPr>
          <w:rFonts w:ascii="Times New Roman" w:hAnsi="Times New Roman" w:eastAsia="Times New Roman" w:cs="Times New Roman"/>
          <w:b/>
          <w:rtl w:val="0"/>
        </w:rPr>
        <w:t>Methods</w:t>
      </w:r>
      <w:r>
        <w:rPr>
          <w:rFonts w:ascii="Times New Roman" w:hAnsi="Times New Roman" w:eastAsia="Times New Roman" w:cs="Times New Roman"/>
          <w:rtl w:val="0"/>
        </w:rPr>
        <w:t>).</w:t>
      </w:r>
    </w:p>
    <w:p w14:paraId="00000041">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In the discovery cohort, we identified 48 significant oral-gut-metabolite mediation relationships, involving 26 oral genera, 15 gut genera, and 11 circulating metabolites (</w:t>
      </w:r>
      <w:r>
        <w:rPr>
          <w:rFonts w:ascii="Times New Roman" w:hAnsi="Times New Roman" w:eastAsia="Times New Roman" w:cs="Times New Roman"/>
          <w:b/>
          <w:rtl w:val="0"/>
        </w:rPr>
        <w:t xml:space="preserve">Fig. 5a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9</w:t>
      </w:r>
      <w:r>
        <w:rPr>
          <w:rFonts w:ascii="Times New Roman" w:hAnsi="Times New Roman" w:eastAsia="Times New Roman" w:cs="Times New Roman"/>
          <w:rtl w:val="0"/>
        </w:rPr>
        <w:t xml:space="preserve">). To assess the robustness of these findings, we applied the same modeling framework to validation cohort 1 and found that the majority of the oral-gut mediation effects were reproducible (33 out 48; </w:t>
      </w:r>
      <w:r>
        <w:rPr>
          <w:rFonts w:ascii="Times New Roman" w:hAnsi="Times New Roman" w:eastAsia="Times New Roman" w:cs="Times New Roman"/>
          <w:b/>
          <w:rtl w:val="0"/>
        </w:rPr>
        <w:t>Supplementary Fig. 5a</w:t>
      </w:r>
      <w:r>
        <w:rPr>
          <w:rFonts w:ascii="Times New Roman" w:hAnsi="Times New Roman" w:eastAsia="Times New Roman" w:cs="Times New Roman"/>
          <w:rtl w:val="0"/>
        </w:rPr>
        <w:t xml:space="preserve">). Importantly, consistent with our hypothesis that microbial processing flows from the oral to the gut microbiome, the number of significant mediation effects in the oral-gut-metabolite direction far exceeded those in the gut-oral-metabolite direction in both the discovery cohort (48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13) and validation cohort 1 (4,122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1,018; species level, </w:t>
      </w:r>
      <w:r>
        <w:rPr>
          <w:rFonts w:ascii="Times New Roman" w:hAnsi="Times New Roman" w:eastAsia="Times New Roman" w:cs="Times New Roman"/>
          <w:b/>
          <w:rtl w:val="0"/>
        </w:rPr>
        <w:t>Methods</w:t>
      </w:r>
      <w:r>
        <w:rPr>
          <w:rFonts w:ascii="Times New Roman" w:hAnsi="Times New Roman" w:eastAsia="Times New Roman" w:cs="Times New Roman"/>
          <w:rtl w:val="0"/>
        </w:rPr>
        <w:t>) (</w:t>
      </w:r>
      <w:r>
        <w:rPr>
          <w:rFonts w:ascii="Times New Roman" w:hAnsi="Times New Roman" w:eastAsia="Times New Roman" w:cs="Times New Roman"/>
          <w:b/>
          <w:rtl w:val="0"/>
        </w:rPr>
        <w:t>Fig. 5b</w:t>
      </w:r>
      <w:r>
        <w:rPr>
          <w:rFonts w:ascii="Times New Roman" w:hAnsi="Times New Roman" w:eastAsia="Times New Roman" w:cs="Times New Roman"/>
          <w:rtl w:val="0"/>
        </w:rPr>
        <w:t>). These findings support the existence of a directional oral-gut microbiome-metabolome axis that mediates coordinated metabolic transformation of some host circulating metabolites.</w:t>
      </w:r>
    </w:p>
    <w:p w14:paraId="00000042">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 xml:space="preserve">Within the oral-gut-metabolite mediation network, we found that the majority of mediation relationships involved the gut microbiome genera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serving as key mediators (</w:t>
      </w:r>
      <w:r>
        <w:rPr>
          <w:rFonts w:ascii="Times New Roman" w:hAnsi="Times New Roman" w:eastAsia="Times New Roman" w:cs="Times New Roman"/>
          <w:b/>
          <w:rtl w:val="0"/>
        </w:rPr>
        <w:t xml:space="preserve">Fig. 5a-e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9</w:t>
      </w:r>
      <w:r>
        <w:rPr>
          <w:rFonts w:ascii="Times New Roman" w:hAnsi="Times New Roman" w:eastAsia="Times New Roman" w:cs="Times New Roman"/>
          <w:rtl w:val="0"/>
        </w:rPr>
        <w:t xml:space="preserve">). The metabolites influenced through these pathways were predominantly of microbial origin, highlighting the importance of microbiota-derived metabolites in systemic circulation. To illustrate these oral-gut cross-site interactions, we selected representative examples. Notably, </w:t>
      </w:r>
      <w:r>
        <w:rPr>
          <w:rFonts w:ascii="Times New Roman" w:hAnsi="Times New Roman" w:eastAsia="Times New Roman" w:cs="Times New Roman"/>
          <w:i/>
          <w:rtl w:val="0"/>
        </w:rPr>
        <w:t>Dialister</w:t>
      </w:r>
      <w:r>
        <w:rPr>
          <w:rFonts w:ascii="Times New Roman" w:hAnsi="Times New Roman" w:eastAsia="Times New Roman" w:cs="Times New Roman"/>
          <w:rtl w:val="0"/>
        </w:rPr>
        <w:t xml:space="preserve"> may modulate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activity involved in tyrosine fermentation and p-cresol production (</w:t>
      </w:r>
      <w:r>
        <w:rPr>
          <w:rFonts w:ascii="Times New Roman" w:hAnsi="Times New Roman" w:eastAsia="Times New Roman" w:cs="Times New Roman"/>
          <w:b/>
          <w:rtl w:val="0"/>
        </w:rPr>
        <w:t>Fig. 5c</w:t>
      </w:r>
      <w:r>
        <w:rPr>
          <w:rFonts w:ascii="Times New Roman" w:hAnsi="Times New Roman" w:eastAsia="Times New Roman" w:cs="Times New Roman"/>
          <w:rtl w:val="0"/>
        </w:rPr>
        <w:t xml:space="preserve">), while </w:t>
      </w:r>
      <w:r>
        <w:rPr>
          <w:rFonts w:ascii="Times New Roman" w:hAnsi="Times New Roman" w:eastAsia="Times New Roman" w:cs="Times New Roman"/>
          <w:i/>
          <w:rtl w:val="0"/>
        </w:rPr>
        <w:t>Lancefieldella</w:t>
      </w:r>
      <w:r>
        <w:rPr>
          <w:rFonts w:ascii="Times New Roman" w:hAnsi="Times New Roman" w:eastAsia="Times New Roman" w:cs="Times New Roman"/>
          <w:rtl w:val="0"/>
        </w:rPr>
        <w:t xml:space="preserve">, possibly through modulation of phenylalanine flux, may enhance </w:t>
      </w:r>
      <w:r>
        <w:rPr>
          <w:rFonts w:ascii="Times New Roman" w:hAnsi="Times New Roman" w:eastAsia="Times New Roman" w:cs="Times New Roman"/>
          <w:i/>
          <w:rtl w:val="0"/>
        </w:rPr>
        <w:t>Oscillibacter</w:t>
      </w:r>
      <w:r>
        <w:rPr>
          <w:rFonts w:ascii="Times New Roman" w:hAnsi="Times New Roman" w:eastAsia="Times New Roman" w:cs="Times New Roman"/>
          <w:rtl w:val="0"/>
        </w:rPr>
        <w:t>-linked PAGln biosynthesis (</w:t>
      </w:r>
      <w:r>
        <w:rPr>
          <w:rFonts w:ascii="Times New Roman" w:hAnsi="Times New Roman" w:eastAsia="Times New Roman" w:cs="Times New Roman"/>
          <w:b/>
          <w:rtl w:val="0"/>
        </w:rPr>
        <w:t>Fig. 5d</w:t>
      </w:r>
      <w:r>
        <w:rPr>
          <w:rFonts w:ascii="Times New Roman" w:hAnsi="Times New Roman" w:eastAsia="Times New Roman" w:cs="Times New Roman"/>
          <w:rtl w:val="0"/>
        </w:rPr>
        <w:t>), which was confirmed in validation cohort 1 (</w:t>
      </w:r>
      <w:r>
        <w:rPr>
          <w:rFonts w:ascii="Times New Roman" w:hAnsi="Times New Roman" w:eastAsia="Times New Roman" w:cs="Times New Roman"/>
          <w:b/>
          <w:rtl w:val="0"/>
        </w:rPr>
        <w:t>Supplementary Fig. 5a-c</w:t>
      </w:r>
      <w:r>
        <w:rPr>
          <w:rFonts w:ascii="Times New Roman" w:hAnsi="Times New Roman" w:eastAsia="Times New Roman" w:cs="Times New Roman"/>
          <w:rtl w:val="0"/>
        </w:rPr>
        <w:t xml:space="preserve">). Similarly, </w:t>
      </w:r>
      <w:r>
        <w:rPr>
          <w:rFonts w:ascii="Times New Roman" w:hAnsi="Times New Roman" w:eastAsia="Times New Roman" w:cs="Times New Roman"/>
          <w:i/>
          <w:rtl w:val="0"/>
        </w:rPr>
        <w:t>Granulicatella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Aminipila</w:t>
      </w:r>
      <w:r>
        <w:rPr>
          <w:rFonts w:ascii="Times New Roman" w:hAnsi="Times New Roman" w:eastAsia="Times New Roman" w:cs="Times New Roman"/>
          <w:rtl w:val="0"/>
        </w:rPr>
        <w:t xml:space="preserve"> may alter the gut’s capacity to process xenobiotics such as paracetamol via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Coraliomargarita</w:t>
      </w:r>
      <w:r>
        <w:rPr>
          <w:rFonts w:ascii="Times New Roman" w:hAnsi="Times New Roman" w:eastAsia="Times New Roman" w:cs="Times New Roman"/>
          <w:rtl w:val="0"/>
        </w:rPr>
        <w:t>, respectively (</w:t>
      </w:r>
      <w:r>
        <w:rPr>
          <w:rFonts w:ascii="Times New Roman" w:hAnsi="Times New Roman" w:eastAsia="Times New Roman" w:cs="Times New Roman"/>
          <w:b/>
          <w:rtl w:val="0"/>
        </w:rPr>
        <w:t>Fig. 5e,f</w:t>
      </w:r>
      <w:r>
        <w:rPr>
          <w:rFonts w:ascii="Times New Roman" w:hAnsi="Times New Roman" w:eastAsia="Times New Roman" w:cs="Times New Roman"/>
          <w:rtl w:val="0"/>
        </w:rPr>
        <w:t>). The actual mechanism by which the oral and gut microbiomes influence circulating metabolites requires further investigation through additional experimentation. In summary, these findings support the concept of an oral-gut-metabolite axis and suggest that cross-body site microbial cross-talk contributes to host systemic metabolism.</w:t>
      </w:r>
    </w:p>
    <w:p w14:paraId="00000043">
      <w:pPr>
        <w:spacing w:after="0" w:line="276" w:lineRule="auto"/>
        <w:ind w:left="0" w:firstLine="0"/>
        <w:jc w:val="both"/>
        <w:rPr>
          <w:rFonts w:ascii="Times New Roman" w:hAnsi="Times New Roman" w:eastAsia="Times New Roman" w:cs="Times New Roman"/>
        </w:rPr>
      </w:pPr>
    </w:p>
    <w:p w14:paraId="00000044">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b/>
          <w:rtl w:val="0"/>
        </w:rPr>
        <w:t>Oral-Gut Microbiome-Metabolome Axis Is Altered in Insulin Resistance</w:t>
      </w:r>
    </w:p>
    <w:p w14:paraId="00000045">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Emerging evidence suggests that the oral-gut axis plays a pivotal role in the pathogenesis of metabolic disorders, including type 2 diabetes (T2D) and IR</w:t>
      </w:r>
      <w:r>
        <w:fldChar w:fldCharType="begin"/>
      </w:r>
      <w:r>
        <w:instrText xml:space="preserve"> HYPERLINK "https://www.zotero.org/google-docs/?Q2ZokT" \h </w:instrText>
      </w:r>
      <w:r>
        <w:fldChar w:fldCharType="separate"/>
      </w:r>
      <w:r>
        <w:rPr>
          <w:rFonts w:ascii="Times New Roman" w:hAnsi="Times New Roman" w:eastAsia="Times New Roman" w:cs="Times New Roman"/>
          <w:shd w:val="clear" w:fill="auto"/>
          <w:vertAlign w:val="superscript"/>
          <w:rtl w:val="0"/>
        </w:rPr>
        <w:t>65,66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Previous studies have shown that translocation of periodontal pathogens to the gut can exacerbate glucose intolerance and promote systemic inflammation</w:t>
      </w:r>
      <w:r>
        <w:fldChar w:fldCharType="begin"/>
      </w:r>
      <w:r>
        <w:instrText xml:space="preserve"> HYPERLINK "https://www.zotero.org/google-docs/?FbgM7t" \h </w:instrText>
      </w:r>
      <w:r>
        <w:fldChar w:fldCharType="separate"/>
      </w:r>
      <w:r>
        <w:rPr>
          <w:rFonts w:ascii="Times New Roman" w:hAnsi="Times New Roman" w:eastAsia="Times New Roman" w:cs="Times New Roman"/>
          <w:shd w:val="clear" w:fill="auto"/>
          <w:vertAlign w:val="superscript"/>
          <w:rtl w:val="0"/>
        </w:rPr>
        <w:t>67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However, whether this axis influences disease via modulation of host metabolism remains incompletely understood. Given our earlier findings that the oral and gut microbiomes jointly regulate circulating metabolites, forming an oral-gut microbiome-metabolome axis, we next investigated how this axis differs between insulin-sensitive (IS) and IR individuals.</w:t>
      </w:r>
    </w:p>
    <w:p w14:paraId="00000046">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first assessed whether the gut and oral microbiomes differ in microbial composition between the IS and IR groups. As expected, NMDS analysis revealed that the oral and gut microbiomes were clearly distinct from each other (</w:t>
      </w:r>
      <w:r>
        <w:rPr>
          <w:rFonts w:ascii="Times New Roman" w:hAnsi="Times New Roman" w:eastAsia="Times New Roman" w:cs="Times New Roman"/>
          <w:b/>
          <w:rtl w:val="0"/>
        </w:rPr>
        <w:t>Fig. 6a</w:t>
      </w:r>
      <w:r>
        <w:rPr>
          <w:rFonts w:ascii="Times New Roman" w:hAnsi="Times New Roman" w:eastAsia="Times New Roman" w:cs="Times New Roman"/>
          <w:rtl w:val="0"/>
        </w:rPr>
        <w:t>), in line with the above result (</w:t>
      </w:r>
      <w:r>
        <w:rPr>
          <w:rFonts w:ascii="Times New Roman" w:hAnsi="Times New Roman" w:eastAsia="Times New Roman" w:cs="Times New Roman"/>
          <w:b/>
          <w:rtl w:val="0"/>
        </w:rPr>
        <w:t>Fig. 1c</w:t>
      </w:r>
      <w:r>
        <w:rPr>
          <w:rFonts w:ascii="Times New Roman" w:hAnsi="Times New Roman" w:eastAsia="Times New Roman" w:cs="Times New Roman"/>
          <w:rtl w:val="0"/>
        </w:rPr>
        <w:t>). Within each body site, the gut microbiome exhibited a clear separation between IR and IS individuals, while the oral microbiome showed no significant differentiation (</w:t>
      </w:r>
      <w:r>
        <w:rPr>
          <w:rFonts w:ascii="Times New Roman" w:hAnsi="Times New Roman" w:eastAsia="Times New Roman" w:cs="Times New Roman"/>
          <w:b/>
          <w:rtl w:val="0"/>
        </w:rPr>
        <w:t>Fig. 6a and Supplementary Fig. 6a-b</w:t>
      </w:r>
      <w:r>
        <w:rPr>
          <w:rFonts w:ascii="Times New Roman" w:hAnsi="Times New Roman" w:eastAsia="Times New Roman" w:cs="Times New Roman"/>
          <w:rtl w:val="0"/>
        </w:rPr>
        <w:t>). This pattern aligns with previous studies that consistently report gut microbiome alterations in IR, while findings for the oral microbiome are more variable</w:t>
      </w:r>
      <w:r>
        <w:fldChar w:fldCharType="begin"/>
      </w:r>
      <w:r>
        <w:instrText xml:space="preserve"> HYPERLINK "https://www.zotero.org/google-docs/?GEvIha" \h </w:instrText>
      </w:r>
      <w:r>
        <w:fldChar w:fldCharType="separate"/>
      </w:r>
      <w:r>
        <w:rPr>
          <w:rFonts w:ascii="Times New Roman" w:hAnsi="Times New Roman" w:eastAsia="Times New Roman" w:cs="Times New Roman"/>
          <w:shd w:val="clear" w:fill="auto"/>
          <w:vertAlign w:val="superscript"/>
          <w:rtl w:val="0"/>
        </w:rPr>
        <w:t>65,68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4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evaluate whether oral-gut microbial interactions are altered in IR, we compared the number of oral-gut interaction terms in GBDT models across all circulating metabolites (</w:t>
      </w:r>
      <w:r>
        <w:rPr>
          <w:rFonts w:ascii="Times New Roman" w:hAnsi="Times New Roman" w:eastAsia="Times New Roman" w:cs="Times New Roman"/>
          <w:b/>
          <w:rtl w:val="0"/>
        </w:rPr>
        <w:t>Methods</w:t>
      </w:r>
      <w:r>
        <w:rPr>
          <w:rFonts w:ascii="Times New Roman" w:hAnsi="Times New Roman" w:eastAsia="Times New Roman" w:cs="Times New Roman"/>
          <w:rtl w:val="0"/>
        </w:rPr>
        <w:t>). Remarkably, the IR group exhibited a significantly greater number of interaction terms than the IS group (</w:t>
      </w:r>
      <w:r>
        <w:rPr>
          <w:rFonts w:ascii="Times New Roman" w:hAnsi="Times New Roman" w:eastAsia="Times New Roman" w:cs="Times New Roman"/>
          <w:b/>
          <w:rtl w:val="0"/>
        </w:rPr>
        <w:t>Fig. 6b</w:t>
      </w:r>
      <w:r>
        <w:rPr>
          <w:rFonts w:ascii="Times New Roman" w:hAnsi="Times New Roman" w:eastAsia="Times New Roman" w:cs="Times New Roman"/>
          <w:rtl w:val="0"/>
        </w:rPr>
        <w:t>; Wilcoxon test, P &lt; 0.001), suggesting enhanced microbial crosstalk between the oral and gut. We further performed mediation analysis separately in each group to examine directional influence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Consistent with the interaction analysis, the IR group exhibited a markedly higher number of significant oral-gut-metabolite mediation pathways compared to the IS group (68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24; </w:t>
      </w:r>
      <w:r>
        <w:rPr>
          <w:rFonts w:ascii="Times New Roman" w:hAnsi="Times New Roman" w:eastAsia="Times New Roman" w:cs="Times New Roman"/>
          <w:b/>
          <w:rtl w:val="0"/>
        </w:rPr>
        <w:t>Fig. 6c</w:t>
      </w:r>
      <w:r>
        <w:rPr>
          <w:rFonts w:ascii="Times New Roman" w:hAnsi="Times New Roman" w:eastAsia="Times New Roman" w:cs="Times New Roman"/>
          <w:rtl w:val="0"/>
        </w:rPr>
        <w:t>). These findings collectively indicate that the oral-gut microbiome-metabolome axis exhibits elevated functional activity in IR individuals.</w:t>
      </w:r>
    </w:p>
    <w:p w14:paraId="0000004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identify key circulating metabolites differentially regulated by the oral-gut axis in IR versus IS individuals, we compared the variance explained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from GBDT models between the two groups (</w:t>
      </w:r>
      <w:r>
        <w:rPr>
          <w:rFonts w:ascii="Times New Roman" w:hAnsi="Times New Roman" w:eastAsia="Times New Roman" w:cs="Times New Roman"/>
          <w:b/>
          <w:rtl w:val="0"/>
        </w:rPr>
        <w:t>Methods</w:t>
      </w:r>
      <w:r>
        <w:rPr>
          <w:rFonts w:ascii="Times New Roman" w:hAnsi="Times New Roman" w:eastAsia="Times New Roman" w:cs="Times New Roman"/>
          <w:rtl w:val="0"/>
        </w:rPr>
        <w:t>). We identified 136 metabolites with significant intergroup differences, of which 103 were more strongly associated with both oral and gut microbiota in the IR group (</w:t>
      </w:r>
      <w:r>
        <w:rPr>
          <w:rFonts w:ascii="Times New Roman" w:hAnsi="Times New Roman" w:eastAsia="Times New Roman" w:cs="Times New Roman"/>
          <w:b/>
          <w:rtl w:val="0"/>
        </w:rPr>
        <w:t xml:space="preserve">Fig. 6d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10</w:t>
      </w:r>
      <w:r>
        <w:rPr>
          <w:rFonts w:ascii="Times New Roman" w:hAnsi="Times New Roman" w:eastAsia="Times New Roman" w:cs="Times New Roman"/>
          <w:rtl w:val="0"/>
        </w:rPr>
        <w:t>). These metabolites included central components of energy metabolism such as sucrose, D-fructose, glutamic acid, and D-ribose, pointing to widespread disruptions in metabolic homeostasis (</w:t>
      </w:r>
      <w:r>
        <w:rPr>
          <w:rFonts w:ascii="Times New Roman" w:hAnsi="Times New Roman" w:eastAsia="Times New Roman" w:cs="Times New Roman"/>
          <w:b/>
          <w:rtl w:val="0"/>
        </w:rPr>
        <w:t>Fig. 6e,f</w:t>
      </w:r>
      <w:r>
        <w:rPr>
          <w:rFonts w:ascii="Times New Roman" w:hAnsi="Times New Roman" w:eastAsia="Times New Roman" w:cs="Times New Roman"/>
          <w:rtl w:val="0"/>
        </w:rPr>
        <w:t>). In addition, multiple metabolites involved in aromatic amino acid metabolism, including L-tyrosine, phenylalanine, 4-hydroxyphenylpyruvic acid, and kynurenic acid, were significantly elevated or more strongly influenced by the oral-gut axis in IR individuals. Elevated levels of aromatic amino acids have been implicated in the development of IR, potentially via activation of the mTOR pathway and inhibition of downstream insulin signaling cascades</w:t>
      </w:r>
      <w:r>
        <w:fldChar w:fldCharType="begin"/>
      </w:r>
      <w:r>
        <w:instrText xml:space="preserve"> HYPERLINK "https://www.zotero.org/google-docs/?e86QoM" \h </w:instrText>
      </w:r>
      <w:r>
        <w:fldChar w:fldCharType="separate"/>
      </w:r>
      <w:r>
        <w:rPr>
          <w:rFonts w:ascii="Times New Roman" w:hAnsi="Times New Roman" w:eastAsia="Times New Roman" w:cs="Times New Roman"/>
          <w:shd w:val="clear" w:fill="auto"/>
          <w:vertAlign w:val="superscript"/>
          <w:rtl w:val="0"/>
        </w:rPr>
        <w:t>69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Alterations were also observed in histidine metabolism, with metabolites such as imidazolelactic acid and methylimidazoleacetic acid showing increased association with the oral-gut microbiome in IR individuals (</w:t>
      </w:r>
      <w:r>
        <w:rPr>
          <w:rFonts w:ascii="Times New Roman" w:hAnsi="Times New Roman" w:eastAsia="Times New Roman" w:cs="Times New Roman"/>
          <w:b/>
          <w:rtl w:val="0"/>
        </w:rPr>
        <w:t>Fig. 6e,f</w:t>
      </w:r>
      <w:r>
        <w:rPr>
          <w:rFonts w:ascii="Times New Roman" w:hAnsi="Times New Roman" w:eastAsia="Times New Roman" w:cs="Times New Roman"/>
          <w:rtl w:val="0"/>
        </w:rPr>
        <w:t>). Histidine plays key roles in modulating inflammation, scavenging reactive oxygen species, and maintaining redox balance</w:t>
      </w:r>
      <w:r>
        <w:fldChar w:fldCharType="begin"/>
      </w:r>
      <w:r>
        <w:instrText xml:space="preserve"> HYPERLINK "https://www.zotero.org/google-docs/?RZwEue" \h </w:instrText>
      </w:r>
      <w:r>
        <w:fldChar w:fldCharType="separate"/>
      </w:r>
      <w:r>
        <w:rPr>
          <w:rFonts w:ascii="Times New Roman" w:hAnsi="Times New Roman" w:eastAsia="Times New Roman" w:cs="Times New Roman"/>
          <w:shd w:val="clear" w:fill="auto"/>
          <w:vertAlign w:val="superscript"/>
          <w:rtl w:val="0"/>
        </w:rPr>
        <w:t>70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Disruptions in histidine metabolism may impair glucose homeostasis via effects on histamine biosynthesis or microbial composition in the gut</w:t>
      </w:r>
      <w:r>
        <w:fldChar w:fldCharType="begin"/>
      </w:r>
      <w:r>
        <w:instrText xml:space="preserve"> HYPERLINK "https://www.zotero.org/google-docs/?mLY5j7" \h </w:instrText>
      </w:r>
      <w:r>
        <w:fldChar w:fldCharType="separate"/>
      </w:r>
      <w:r>
        <w:rPr>
          <w:rFonts w:ascii="Times New Roman" w:hAnsi="Times New Roman" w:eastAsia="Times New Roman" w:cs="Times New Roman"/>
          <w:shd w:val="clear" w:fill="auto"/>
          <w:vertAlign w:val="superscript"/>
          <w:rtl w:val="0"/>
        </w:rPr>
        <w:t>71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49">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Taken together, these results reveal that the oral-gut microbiome-metabolome axis becomes functionally reprogrammed in IR individuals, exhibiting stronger microbial interactions and greater influence over key circulating metabolites. This shift particularly affects pathways related to energy metabolism and aromatic and histidine amino acid metabolism, suggesting a mechanistic link between cross-body site microbial crosstalk and metabolic dysregulation in IR. These findings highlight the oral-gut microbiome-metabolome axis as a potential contributor to the pathophysiology of metabolic diseases and a promising target for future microbiome-metabolome-based interventions. Collectively, these results reveal that the oral-gut microbiome-metabolome axis undergoes functional reprogramming in IR, with enhanced microbial cooperation potentially contributing to metabolic dysregulation.</w:t>
      </w:r>
    </w:p>
    <w:p w14:paraId="0000004A">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In summary, our multi-cohort analysis reveals that microbiomes from multiple body sites cooperatively influence the human plasma metabolome, with particularly strong synergistic interactions between oral and gut microbiomes that are amplified in IR. These findings challenge the gut-centric view of microbiome-metabolome interactions and highlight the importance of considering the human microbiome as an interconnected, multi-site ecosystem.</w:t>
      </w:r>
    </w:p>
    <w:p w14:paraId="0000004B">
      <w:pPr>
        <w:spacing w:after="0" w:line="276" w:lineRule="auto"/>
        <w:jc w:val="both"/>
        <w:rPr>
          <w:rFonts w:ascii="Times New Roman" w:hAnsi="Times New Roman" w:eastAsia="Times New Roman" w:cs="Times New Roman"/>
        </w:rPr>
      </w:pPr>
    </w:p>
    <w:p w14:paraId="0000004C">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Discussion</w:t>
      </w:r>
    </w:p>
    <w:p w14:paraId="0000004D">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In this study, we provide a comprehensive and integrative analysis of how microbiomes from multiple body sites, the gut, oral cavity, skin, and nasal cavity, influence the human plasma metabolome. While the key role of the gut microbiome in regulating host metabolism is well-established</w:t>
      </w:r>
      <w:r>
        <w:fldChar w:fldCharType="begin"/>
      </w:r>
      <w:r>
        <w:instrText xml:space="preserve"> HYPERLINK "https://www.zotero.org/google-docs/?kWO3nG" \h </w:instrText>
      </w:r>
      <w:r>
        <w:fldChar w:fldCharType="separate"/>
      </w:r>
      <w:r>
        <w:rPr>
          <w:rFonts w:ascii="Times New Roman" w:hAnsi="Times New Roman" w:eastAsia="Times New Roman" w:cs="Times New Roman"/>
          <w:shd w:val="clear" w:fill="auto"/>
          <w:vertAlign w:val="superscript"/>
          <w:rtl w:val="0"/>
        </w:rPr>
        <w:t>8,44,72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our work expands this understanding by quantitatively revealing contributions from non-gut body sites, particularly the oral microbiome. </w:t>
      </w:r>
    </w:p>
    <w:p w14:paraId="0000004E">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 xml:space="preserve"> </w:t>
      </w:r>
      <w:r>
        <w:rPr>
          <w:rFonts w:ascii="Times New Roman" w:hAnsi="Times New Roman" w:eastAsia="Times New Roman" w:cs="Times New Roman"/>
          <w:rtl w:val="0"/>
        </w:rPr>
        <w:tab/>
      </w:r>
      <w:r>
        <w:rPr>
          <w:rFonts w:ascii="Times New Roman" w:hAnsi="Times New Roman" w:eastAsia="Times New Roman" w:cs="Times New Roman"/>
          <w:rtl w:val="0"/>
        </w:rPr>
        <w:t>The skin and nasal microbiomes, though less influential in magnitude compared to gut and oral, also exhibited distinct metabolic associations, suggesting body site-specific roles in host systemic metabolism. Notably, we uncovered that microbial composition alone is not predictive of functional metabolic impact. For example, the skin and nasal microbiomes share highly similar microbial composition but exhibit divergent metabolic associations, while the compositionally distinct oral and gut microbiomes influence overlapping classes of metabolites (</w:t>
      </w:r>
      <w:r>
        <w:rPr>
          <w:rFonts w:ascii="Times New Roman" w:hAnsi="Times New Roman" w:eastAsia="Times New Roman" w:cs="Times New Roman"/>
          <w:b/>
          <w:rtl w:val="0"/>
        </w:rPr>
        <w:t>Fig. 1c,d,h</w:t>
      </w:r>
      <w:r>
        <w:rPr>
          <w:rFonts w:ascii="Times New Roman" w:hAnsi="Times New Roman" w:eastAsia="Times New Roman" w:cs="Times New Roman"/>
          <w:rtl w:val="0"/>
        </w:rPr>
        <w:t>). We speculate that this characteristic may be caused by the different microenvironments of the bacteria's ecological niches. There are significant differences in temperature, humidity, ultraviolet intensity, and available nutrients between the nasal cavity and the skin. In addition, the types and metabolic characteristics of the host's epithelial cells are also different, all of which may cause the metabolic functions of the same bacteria in different ecological niches to differ. These findings highlight the functional divergence and specialization of microbiomes across different body sites and underscore the necessity of incorporating metabolomic data to capture microbiome-host interactions more completely.</w:t>
      </w:r>
    </w:p>
    <w:p w14:paraId="0000004F">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found that microbiomes from all four body sites contribute to the overall inter-individual variation of the plasma metabolome. The gut microbiome accounted for the largest proportion of overall explained variance of plasma metabolome (18.04%), followed by the oral (13.35%), skin (9.07%), and nasal (5.82%) microbiomes (</w:t>
      </w:r>
      <w:r>
        <w:rPr>
          <w:rFonts w:ascii="Times New Roman" w:hAnsi="Times New Roman" w:eastAsia="Times New Roman" w:cs="Times New Roman"/>
          <w:b/>
          <w:rtl w:val="0"/>
        </w:rPr>
        <w:t>Fig. 2a</w:t>
      </w:r>
      <w:r>
        <w:rPr>
          <w:rFonts w:ascii="Times New Roman" w:hAnsi="Times New Roman" w:eastAsia="Times New Roman" w:cs="Times New Roman"/>
          <w:rtl w:val="0"/>
        </w:rPr>
        <w:t>). Our results also reveal a pattern of systemic and cooperative metabolic regulation, wherein specific circulating metabolites are influenced by microbiomes from multiple body sites (</w:t>
      </w:r>
      <w:r>
        <w:rPr>
          <w:rFonts w:ascii="Times New Roman" w:hAnsi="Times New Roman" w:eastAsia="Times New Roman" w:cs="Times New Roman"/>
          <w:b/>
          <w:rtl w:val="0"/>
        </w:rPr>
        <w:t>Fig. 3a</w:t>
      </w:r>
      <w:r>
        <w:rPr>
          <w:rFonts w:ascii="Times New Roman" w:hAnsi="Times New Roman" w:eastAsia="Times New Roman" w:cs="Times New Roman"/>
          <w:rtl w:val="0"/>
        </w:rPr>
        <w:t>). Through GBDT modeling, we demonstrate that cooperative contributions from oral and gut microbiomes account for the variance in many circulating metabolites (</w:t>
      </w:r>
      <w:r>
        <w:rPr>
          <w:rFonts w:ascii="Times New Roman" w:hAnsi="Times New Roman" w:eastAsia="Times New Roman" w:cs="Times New Roman"/>
          <w:b/>
          <w:rtl w:val="0"/>
        </w:rPr>
        <w:t>Fig. 3f-h</w:t>
      </w:r>
      <w:r>
        <w:rPr>
          <w:rFonts w:ascii="Times New Roman" w:hAnsi="Times New Roman" w:eastAsia="Times New Roman" w:cs="Times New Roman"/>
          <w:rtl w:val="0"/>
        </w:rPr>
        <w:t>). The observed joint influence on metabolites such as indole derivatives, carboxylic acids, and aromatic amino acid metabolites reflects biochemical cooperation of microbiomes from multiple body sites. For instance, indole and its derivatives, commonly implicated in gut-brain and gut-immune signaling</w:t>
      </w:r>
      <w:r>
        <w:fldChar w:fldCharType="begin"/>
      </w:r>
      <w:r>
        <w:instrText xml:space="preserve"> HYPERLINK "https://www.zotero.org/google-docs/?Qn41EW" \h </w:instrText>
      </w:r>
      <w:r>
        <w:fldChar w:fldCharType="separate"/>
      </w:r>
      <w:r>
        <w:rPr>
          <w:rFonts w:ascii="Times New Roman" w:hAnsi="Times New Roman" w:eastAsia="Times New Roman" w:cs="Times New Roman"/>
          <w:shd w:val="clear" w:fill="auto"/>
          <w:vertAlign w:val="superscript"/>
          <w:rtl w:val="0"/>
        </w:rPr>
        <w:t>73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were jointly associated with genera from both oral and gut microbiomes, suggesting that these spatially distinct microbial communities may collaborate along the same metabolic pathways.</w:t>
      </w:r>
    </w:p>
    <w:p w14:paraId="00000050">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Mechanistically, our modeling uncovered extensive cross-body site microbial interactions, particularly between the oral and gut microbiomes. GBDT models incorporating interaction terms between genera revealed that the combined influence of oral and gut microbiomes on metabolite variance exceeds the sum of their independent effects for the vast majority of circulating metabolites, indicating strong synergistic regulation (</w:t>
      </w:r>
      <w:r>
        <w:rPr>
          <w:rFonts w:ascii="Times New Roman" w:hAnsi="Times New Roman" w:eastAsia="Times New Roman" w:cs="Times New Roman"/>
          <w:b/>
          <w:rtl w:val="0"/>
        </w:rPr>
        <w:t>Fig. 4a,b</w:t>
      </w:r>
      <w:r>
        <w:rPr>
          <w:rFonts w:ascii="Times New Roman" w:hAnsi="Times New Roman" w:eastAsia="Times New Roman" w:cs="Times New Roman"/>
          <w:rtl w:val="0"/>
        </w:rPr>
        <w:t xml:space="preserve">). Key genera from each site, such as </w:t>
      </w:r>
      <w:r>
        <w:rPr>
          <w:rFonts w:ascii="Times New Roman" w:hAnsi="Times New Roman" w:eastAsia="Times New Roman" w:cs="Times New Roman"/>
          <w:i/>
          <w:rtl w:val="0"/>
        </w:rPr>
        <w:t>Bifidobacterium</w:t>
      </w:r>
      <w:r>
        <w:rPr>
          <w:rFonts w:ascii="Times New Roman" w:hAnsi="Times New Roman" w:eastAsia="Times New Roman" w:cs="Times New Roman"/>
          <w:rtl w:val="0"/>
        </w:rPr>
        <w:t xml:space="preserve"> (gut) and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(oral), emerged as central hubs in these interactions, jointly modulating important metabolic pathways, including those involving carboxylic acids and amino acid derivatives. Mediation analyses further supported the notion of functional interdependence, revealing directional relationships where oral microbiota influence metabolite levels through downstream modulation by gut taxa (</w:t>
      </w:r>
      <w:r>
        <w:rPr>
          <w:rFonts w:ascii="Times New Roman" w:hAnsi="Times New Roman" w:eastAsia="Times New Roman" w:cs="Times New Roman"/>
          <w:b/>
          <w:rtl w:val="0"/>
        </w:rPr>
        <w:t>Fig. 5</w:t>
      </w:r>
      <w:r>
        <w:rPr>
          <w:rFonts w:ascii="Times New Roman" w:hAnsi="Times New Roman" w:eastAsia="Times New Roman" w:cs="Times New Roman"/>
          <w:rtl w:val="0"/>
        </w:rPr>
        <w:t>). These findings suggest the existence of cross-body site microbial processing chains that operate sequentially to regulate host metabolic homeostasis.</w:t>
      </w:r>
    </w:p>
    <w:p w14:paraId="00000051">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Importantly, we found that the oral-gut microbiome-metabolome axis is functionally altered in individuals with IR. Compared to IS individuals, IR subjects exhibited stronger oral-gut microbial interactions and a greater number of significant mediation relationships (</w:t>
      </w:r>
      <w:r>
        <w:rPr>
          <w:rFonts w:ascii="Times New Roman" w:hAnsi="Times New Roman" w:eastAsia="Times New Roman" w:cs="Times New Roman"/>
          <w:b/>
          <w:rtl w:val="0"/>
        </w:rPr>
        <w:t>Fig. 6b-c</w:t>
      </w:r>
      <w:r>
        <w:rPr>
          <w:rFonts w:ascii="Times New Roman" w:hAnsi="Times New Roman" w:eastAsia="Times New Roman" w:cs="Times New Roman"/>
          <w:rtl w:val="0"/>
        </w:rPr>
        <w:t>). These enhanced microbial crosstalk patterns were accompanied by increased regulation of metabolites implicated in energy metabolism, aromatic amino acid pathways (</w:t>
      </w:r>
      <w:r>
        <w:rPr>
          <w:rFonts w:ascii="Times New Roman" w:hAnsi="Times New Roman" w:eastAsia="Times New Roman" w:cs="Times New Roman"/>
          <w:i/>
          <w:rtl w:val="0"/>
        </w:rPr>
        <w:t>e.g.</w:t>
      </w:r>
      <w:r>
        <w:rPr>
          <w:rFonts w:ascii="Times New Roman" w:hAnsi="Times New Roman" w:eastAsia="Times New Roman" w:cs="Times New Roman"/>
          <w:rtl w:val="0"/>
        </w:rPr>
        <w:t>, tyrosine, phenylalanine), and histidine metabolism (</w:t>
      </w:r>
      <w:r>
        <w:rPr>
          <w:rFonts w:ascii="Times New Roman" w:hAnsi="Times New Roman" w:eastAsia="Times New Roman" w:cs="Times New Roman"/>
          <w:b/>
          <w:rtl w:val="0"/>
        </w:rPr>
        <w:t>Fig. 6e,f</w:t>
      </w:r>
      <w:r>
        <w:rPr>
          <w:rFonts w:ascii="Times New Roman" w:hAnsi="Times New Roman" w:eastAsia="Times New Roman" w:cs="Times New Roman"/>
          <w:rtl w:val="0"/>
        </w:rPr>
        <w:t>). These metabolic alterations are mechanistically linked to impaired insulin signaling and redox imbalance in IR</w:t>
      </w:r>
      <w:r>
        <w:fldChar w:fldCharType="begin"/>
      </w:r>
      <w:r>
        <w:instrText xml:space="preserve"> HYPERLINK "https://www.zotero.org/google-docs/?uow6vM" \h </w:instrText>
      </w:r>
      <w:r>
        <w:fldChar w:fldCharType="separate"/>
      </w:r>
      <w:r>
        <w:rPr>
          <w:rFonts w:ascii="Times New Roman" w:hAnsi="Times New Roman" w:eastAsia="Times New Roman" w:cs="Times New Roman"/>
          <w:shd w:val="clear" w:fill="auto"/>
          <w:vertAlign w:val="superscript"/>
          <w:rtl w:val="0"/>
        </w:rPr>
        <w:t>74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suggesting that the reprogramming of oral-gut microbial cooperation may contribute to the metabolic dysregulation observed in early metabolic disorders. Our findings thus implicate the oral-gut axis not merely as a passive bystander but as an active participant in the pathogenesis of metabolic disorders.</w:t>
      </w:r>
    </w:p>
    <w:p w14:paraId="00000052">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Collectively, our work establishes the oral-gut microbiome-metabolome axis as a fundamental conduit of metabolic communication of microbiomes across multiple body sites. These findings argue for a systemic perspective on host-microbiome interactions, moving beyond the traditional gut-centric paradigm. Given the extensive cross-body site microbial cooperation revealed here, interventions targeting a single body site microbiome, such as the gut or oral cavity, may exert far-reaching effects on host metabolism. For example, many studies have found that oral care and intervention can help diabetic patients control blood sugar</w:t>
      </w:r>
      <w:r>
        <w:fldChar w:fldCharType="begin"/>
      </w:r>
      <w:r>
        <w:instrText xml:space="preserve"> HYPERLINK "https://www.zotero.org/google-docs/?VnQRZ8" \h </w:instrText>
      </w:r>
      <w:r>
        <w:fldChar w:fldCharType="separate"/>
      </w:r>
      <w:r>
        <w:rPr>
          <w:rFonts w:ascii="Times New Roman" w:hAnsi="Times New Roman" w:eastAsia="Times New Roman" w:cs="Times New Roman"/>
          <w:shd w:val="clear" w:fill="auto"/>
          <w:vertAlign w:val="superscript"/>
          <w:rtl w:val="0"/>
        </w:rPr>
        <w:t>75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which is of great significance for the development of microbiome-based treatment and diagnostic methods, and emphasizes the need to consider microbiota from multiple body parts when designing systemic metabolic interventions.</w:t>
      </w:r>
    </w:p>
    <w:p w14:paraId="00000053">
      <w:pPr>
        <w:spacing w:after="0" w:line="276" w:lineRule="auto"/>
        <w:ind w:firstLine="720"/>
        <w:jc w:val="both"/>
        <w:rPr>
          <w:rFonts w:ascii="Times New Roman" w:hAnsi="Times New Roman" w:eastAsia="Times New Roman" w:cs="Times New Roman"/>
          <w:highlight w:val="none"/>
        </w:rPr>
      </w:pPr>
      <w:r>
        <w:rPr>
          <w:rFonts w:ascii="Times New Roman" w:hAnsi="Times New Roman" w:eastAsia="Times New Roman" w:cs="Times New Roman"/>
          <w:rtl w:val="0"/>
        </w:rPr>
        <w:t xml:space="preserve">Our study presents certain limitations. First, although the discovery cohort included microbiomes from four body sites, the two validation cohorts lacked complete multi-body site sampling, limiting replication of some cross-body site findings in the study. In addition, the sample sizes of the three groups were relatively small. Although we set more stringent variable screening and parameter settings when constructing the GBDT model, it may still not be possible to completely avoid model overfitting, so a larger cohort is needed to further confirm our findings. </w:t>
      </w:r>
      <w:r>
        <w:rPr>
          <w:rFonts w:ascii="Times New Roman" w:hAnsi="Times New Roman" w:eastAsia="Times New Roman" w:cs="Times New Roman"/>
          <w:highlight w:val="none"/>
          <w:rtl w:val="0"/>
        </w:rPr>
        <w:t>Second,</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th</w:t>
      </w:r>
      <w:r>
        <w:rPr>
          <w:rFonts w:ascii="Times New Roman" w:hAnsi="Times New Roman" w:eastAsia="Times New Roman" w:cs="Times New Roman"/>
          <w:highlight w:val="none"/>
          <w:rtl w:val="0"/>
        </w:rPr>
        <w:t>e</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microbiome resolution was restricted to the genus level, as the discovery dataset was based on 16S rRNA sequencing. This is because this </w:t>
      </w:r>
      <w:r>
        <w:rPr>
          <w:rFonts w:ascii="Times New Roman" w:hAnsi="Times New Roman" w:eastAsia="Times New Roman" w:cs="Times New Roman"/>
          <w:highlight w:val="none"/>
          <w:rtl w:val="0"/>
        </w:rPr>
        <w:t>cohort is the only human cohort that has the matched plasma metabolome and microbiome data from four major body sites.</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While metagenomic data from validation cohorts confirmed the key findings, future research could benefit from shotgun metagenomics or metatranscriptomics to gain deeper insights into strain-level functions.</w:t>
      </w:r>
      <w:r>
        <w:rPr>
          <w:rFonts w:ascii="Times New Roman" w:hAnsi="Times New Roman" w:eastAsia="Times New Roman" w:cs="Times New Roman"/>
          <w:highlight w:val="none"/>
          <w:rtl w:val="0"/>
        </w:rPr>
        <w:t xml:space="preserve"> Third, although the discovery cohort is longitudinal, with follow-up periods extending up to around 7 years for one participant, the majority have relatively short follow-up durations. Therefore, we did not perform longitudinal analyses in this study; our current analyses are cross-sectional. Future research leveraging long-term longitudinal cohorts will be essential to better understand cross-body-site microbial interactions at an individual level.</w:t>
      </w:r>
    </w:p>
    <w:p w14:paraId="00000054">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Fourth, our metabolite annotation in the metabolomics analysis, based on MS/MS spectra, likely missed a fraction of low-abundance or metabolic features without MS/MS spectra, and future work incorporating new metabolite annotation strategies could expand the metabolic landscape analyzed. Additionally, while our modeling approaches suggest potential mechanistic pathways, they remain correlative. Functional validation via isotope tracing, microbial knockouts, and intervention using animal models will be critical for establishing causal links in the future.</w:t>
      </w:r>
    </w:p>
    <w:p w14:paraId="00000055">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In conclusion, our study reveals that microbiomes from multiple body sites exert selective and cooperative influence on the human plasma metabolome. By elucidating the synergistic interactions and metabolic coordination between oral and gut microbiomes, we uncover a previously underappreciated axis of cross-body site microbial communication that influences host metabolic physiology. These findings underscore the importance of integrating microbiome data from multiple body sites and metabolome data to better understand the systemic nature of host-microbiome interactions and their role in human health and disease.</w:t>
      </w:r>
    </w:p>
    <w:p w14:paraId="00000056">
      <w:pPr>
        <w:spacing w:after="0" w:line="276" w:lineRule="auto"/>
        <w:jc w:val="both"/>
        <w:rPr>
          <w:rFonts w:ascii="Times New Roman" w:hAnsi="Times New Roman" w:eastAsia="Times New Roman" w:cs="Times New Roman"/>
          <w:b/>
        </w:rPr>
      </w:pPr>
    </w:p>
    <w:p w14:paraId="03C3CD00">
      <w:pPr>
        <w:ind w:left="0" w:firstLine="0"/>
        <w:jc w:val="both"/>
        <w:rPr>
          <w:rFonts w:ascii="Times New Roman" w:hAnsi="Times New Roman" w:eastAsia="Times New Roman" w:cs="Times New Roman"/>
          <w:b/>
          <w:rtl w:val="0"/>
        </w:rPr>
      </w:pPr>
    </w:p>
    <w:p w14:paraId="5E171BBB">
      <w:pPr>
        <w:ind w:left="0" w:firstLine="0"/>
        <w:jc w:val="both"/>
        <w:rPr>
          <w:rFonts w:ascii="Times New Roman" w:hAnsi="Times New Roman" w:eastAsia="Times New Roman" w:cs="Times New Roman"/>
          <w:b/>
          <w:rtl w:val="0"/>
        </w:rPr>
      </w:pPr>
    </w:p>
    <w:p w14:paraId="72AD04A5">
      <w:pPr>
        <w:ind w:left="0" w:firstLine="0"/>
        <w:jc w:val="both"/>
        <w:rPr>
          <w:rFonts w:ascii="Times New Roman" w:hAnsi="Times New Roman" w:eastAsia="Times New Roman" w:cs="Times New Roman"/>
          <w:b/>
          <w:rtl w:val="0"/>
        </w:rPr>
      </w:pPr>
    </w:p>
    <w:p w14:paraId="00000057">
      <w:pPr>
        <w:ind w:left="0" w:firstLine="0"/>
        <w:jc w:val="both"/>
        <w:rPr>
          <w:rFonts w:ascii="Times New Roman" w:hAnsi="Times New Roman" w:eastAsia="Times New Roman" w:cs="Times New Roman"/>
          <w:b/>
        </w:rPr>
      </w:pPr>
      <w:r>
        <w:rPr>
          <w:rFonts w:ascii="Times New Roman" w:hAnsi="Times New Roman" w:eastAsia="Times New Roman" w:cs="Times New Roman"/>
          <w:b/>
          <w:rtl w:val="0"/>
        </w:rPr>
        <w:t>Methods</w:t>
      </w:r>
    </w:p>
    <w:p w14:paraId="00000058">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Study design and human cohort</w:t>
      </w:r>
    </w:p>
    <w:p w14:paraId="00000059">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All three human cohorts' multi-omics data were obtained from previous studies. The detailed information about them could be found in the publications published by Zhou </w:t>
      </w:r>
      <w:r>
        <w:rPr>
          <w:rFonts w:ascii="Times New Roman" w:hAnsi="Times New Roman" w:eastAsia="Times New Roman" w:cs="Times New Roman"/>
          <w:i/>
          <w:rtl w:val="0"/>
        </w:rPr>
        <w:t>et al.</w:t>
      </w:r>
      <w:r>
        <w:fldChar w:fldCharType="begin"/>
      </w:r>
      <w:r>
        <w:instrText xml:space="preserve"> HYPERLINK "https://www.zotero.org/google-docs/?UsPNkK" \h </w:instrText>
      </w:r>
      <w:r>
        <w:fldChar w:fldCharType="separate"/>
      </w:r>
      <w:r>
        <w:rPr>
          <w:rFonts w:ascii="Times New Roman" w:hAnsi="Times New Roman" w:eastAsia="Times New Roman" w:cs="Times New Roman"/>
          <w:shd w:val="clear" w:fill="auto"/>
          <w:vertAlign w:val="superscript"/>
          <w:rtl w:val="0"/>
        </w:rPr>
        <w:t>24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Shen </w:t>
      </w:r>
      <w:r>
        <w:rPr>
          <w:rFonts w:ascii="Times New Roman" w:hAnsi="Times New Roman" w:eastAsia="Times New Roman" w:cs="Times New Roman"/>
          <w:i/>
          <w:rtl w:val="0"/>
        </w:rPr>
        <w:t>et al.</w:t>
      </w:r>
      <w:r>
        <w:fldChar w:fldCharType="begin"/>
      </w:r>
      <w:r>
        <w:instrText xml:space="preserve"> HYPERLINK "https://www.zotero.org/google-docs/?B9r2aB" \h </w:instrText>
      </w:r>
      <w:r>
        <w:fldChar w:fldCharType="separate"/>
      </w:r>
      <w:r>
        <w:rPr>
          <w:rFonts w:ascii="Times New Roman" w:hAnsi="Times New Roman" w:eastAsia="Times New Roman" w:cs="Times New Roman"/>
          <w:shd w:val="clear" w:fill="auto"/>
          <w:vertAlign w:val="superscript"/>
          <w:rtl w:val="0"/>
        </w:rPr>
        <w:t>22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Saar Shoer </w:t>
      </w:r>
      <w:r>
        <w:rPr>
          <w:rFonts w:ascii="Times New Roman" w:hAnsi="Times New Roman" w:eastAsia="Times New Roman" w:cs="Times New Roman"/>
          <w:i/>
          <w:rtl w:val="0"/>
        </w:rPr>
        <w:t>et al.</w:t>
      </w:r>
      <w:r>
        <w:fldChar w:fldCharType="begin"/>
      </w:r>
      <w:r>
        <w:instrText xml:space="preserve"> HYPERLINK "https://www.zotero.org/google-docs/?3nTu8H" \h </w:instrText>
      </w:r>
      <w:r>
        <w:fldChar w:fldCharType="separate"/>
      </w:r>
      <w:r>
        <w:rPr>
          <w:rFonts w:ascii="Times New Roman" w:hAnsi="Times New Roman" w:eastAsia="Times New Roman" w:cs="Times New Roman"/>
          <w:shd w:val="clear" w:fill="auto"/>
          <w:vertAlign w:val="superscript"/>
          <w:rtl w:val="0"/>
        </w:rPr>
        <w:t>25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and Wu </w:t>
      </w:r>
      <w:r>
        <w:rPr>
          <w:rFonts w:ascii="Times New Roman" w:hAnsi="Times New Roman" w:eastAsia="Times New Roman" w:cs="Times New Roman"/>
          <w:i/>
          <w:rtl w:val="0"/>
        </w:rPr>
        <w:t>et al.</w:t>
      </w:r>
      <w:r>
        <w:rPr>
          <w:rFonts w:ascii="Times New Roman" w:hAnsi="Times New Roman" w:eastAsia="Times New Roman" w:cs="Times New Roman"/>
          <w:rtl w:val="0"/>
        </w:rPr>
        <w:t xml:space="preserve"> </w:t>
      </w:r>
      <w:r>
        <w:fldChar w:fldCharType="begin"/>
      </w:r>
      <w:r>
        <w:instrText xml:space="preserve"> HYPERLINK "https://www.zotero.org/google-docs/?UfETdc" \h </w:instrText>
      </w:r>
      <w:r>
        <w:fldChar w:fldCharType="separate"/>
      </w:r>
      <w:r>
        <w:rPr>
          <w:rFonts w:ascii="Times New Roman" w:hAnsi="Times New Roman" w:eastAsia="Times New Roman" w:cs="Times New Roman"/>
          <w:shd w:val="clear" w:fill="auto"/>
          <w:vertAlign w:val="superscript"/>
          <w:rtl w:val="0"/>
        </w:rPr>
        <w:t>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Brief details of the sample collection and data processing are provided below.</w:t>
      </w:r>
    </w:p>
    <w:p w14:paraId="0000005A">
      <w:pPr>
        <w:spacing w:after="0" w:line="276" w:lineRule="auto"/>
        <w:jc w:val="both"/>
        <w:rPr>
          <w:rFonts w:ascii="Times New Roman" w:hAnsi="Times New Roman" w:eastAsia="Times New Roman" w:cs="Times New Roman"/>
        </w:rPr>
      </w:pPr>
    </w:p>
    <w:p w14:paraId="0000005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Participant recruitment</w:t>
      </w:r>
    </w:p>
    <w:p w14:paraId="0000005C">
      <w:pPr>
        <w:jc w:val="both"/>
        <w:rPr>
          <w:rFonts w:hint="default" w:ascii="Times New Roman Regular" w:hAnsi="Times New Roman Regular" w:eastAsia="Times New Roman" w:cs="Times New Roman Regular"/>
          <w:b w:val="0"/>
        </w:rPr>
      </w:pPr>
      <w:r>
        <w:rPr>
          <w:rFonts w:ascii="Times New Roman" w:hAnsi="Times New Roman" w:eastAsia="Times New Roman" w:cs="Times New Roman"/>
          <w:i/>
          <w:rtl w:val="0"/>
        </w:rPr>
        <w:t>Discovery cohort.</w:t>
      </w:r>
      <w:r>
        <w:rPr>
          <w:rFonts w:hint="default" w:ascii="Times New Roman Regular" w:hAnsi="Times New Roman Regular" w:eastAsia="Times New Roman" w:cs="Times New Roman Regular"/>
          <w:b w:val="0"/>
          <w:rtl w:val="0"/>
        </w:rPr>
        <w:t xml:space="preserve"> </w:t>
      </w:r>
      <w:r>
        <w:rPr>
          <w:rFonts w:hint="default" w:ascii="Times New Roman Regular" w:hAnsi="Times New Roman Regular" w:eastAsia="Gungsuh" w:cs="Times New Roman Regular"/>
          <w:b w:val="0"/>
          <w:rtl w:val="0"/>
        </w:rPr>
        <w:t>This cohort consisted of 108 participants enrolled under IRB 23602, approved by the Stanford University Institutional Review Board. All participants provided written informed consent and agreed to the publication of potentially identifiable information. Ethical standards were upheld throughout the study. Participants underwent a one-time modified insulin suppression test at enrollment to quantify insulin-mediated glucose uptake. Insulin sensitivity was assessed using steady-state plasma glucose (SSPG) levels: individuals with SSPG &lt; 150 mg/dL were classified as insulin sensitive, while those with SSPG ≥ 150 mg/dL were considered insulin resistant. SSPG data were unavailable for 38 participants. Fasting plasma glucose (FPG) was also measured at baseline for 69 participants, identifying two cases of diabetes (FPG &gt; 126 mg/dL). Hemoglobin A1C (HbA1C) was assessed during each visit; HbA1C ≥ 6.5% indicated diabetes, and four additional cases were identified during follow-up. Exclusion criteria included anemia, kidney disease, cardiovascular disease, cancer, chronic inflammation, psychiatric conditions, and history of bariatric surgery or liposuction. BMI was measured at enrollment. No compensation was provided to participants.</w:t>
      </w:r>
    </w:p>
    <w:p w14:paraId="0000005D">
      <w:pPr>
        <w:spacing w:after="0" w:line="276" w:lineRule="auto"/>
        <w:jc w:val="both"/>
        <w:rPr>
          <w:rFonts w:hint="default" w:ascii="Times New Roman Regular" w:hAnsi="Times New Roman Regular" w:eastAsia="Times New Roman" w:cs="Times New Roman Regular"/>
          <w:b w:val="0"/>
        </w:rPr>
      </w:pPr>
    </w:p>
    <w:p w14:paraId="0000005E">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Participants were recruited in Israel between January 2017 and January 2019, with final follow-up in March 2020. Eligibility required meeting two pre-diabetic criteria as per the 2010 American Diabetes Association (ADA) guidelines: (1) fasting plasma glucose (FPG) between 100-125 mg/dL (5.6-6.9 mmol/L) and (2) HbA1c between 5.7-6.5% (39-48 mmol/mol). Additional criteria included age 18-65 years and daily use of a smartphone application for dietary logging. Exclusion criteria encompassed use of diabetes or weight loss medications, antibiotic use within three months before enrollment, chronic diseases, or chronic medication use affecting glucose or energy metabolism. Volunteers self-identified as pre-diabetic via a dedicated website and were screened through a questionnaire followed by an in-person screening visit at AMC Medical Center Laboratory. For further methodological details, see Ben-Yacov et al. Participants received no compensation.</w:t>
      </w:r>
    </w:p>
    <w:p w14:paraId="0000005F">
      <w:pPr>
        <w:jc w:val="both"/>
        <w:rPr>
          <w:rFonts w:ascii="Times New Roman" w:hAnsi="Times New Roman" w:eastAsia="Times New Roman" w:cs="Times New Roman"/>
        </w:rPr>
      </w:pPr>
    </w:p>
    <w:p w14:paraId="00000060">
      <w:pPr>
        <w:jc w:val="both"/>
        <w:rPr>
          <w:rFonts w:hint="default" w:ascii="Times New Roman Regular" w:hAnsi="Times New Roman Regular" w:eastAsia="Times New Roman" w:cs="Times New Roman Regular"/>
        </w:rPr>
      </w:pPr>
      <w:r>
        <w:rPr>
          <w:rFonts w:ascii="Times New Roman" w:hAnsi="Times New Roman" w:eastAsia="Times New Roman" w:cs="Times New Roman"/>
          <w:i/>
          <w:rtl w:val="0"/>
        </w:rPr>
        <w:t xml:space="preserve">Validation cohort 2. </w:t>
      </w:r>
      <w:r>
        <w:rPr>
          <w:rFonts w:hint="default" w:ascii="Times New Roman Regular" w:hAnsi="Times New Roman Regular" w:eastAsia="Gungsuh" w:cs="Times New Roman Regular"/>
          <w:rtl w:val="0"/>
        </w:rPr>
        <w:t>This single-blinded, parallel-design clinical trial was conducted in Singapore from November 2020 to July 2021 and registered at ClinicalTrials.gov (NCT04745702). Ethics approval was obtained from the National Healthcare Group Domain Specific Review Board (Ref: C/2019/00997). All participants provided written informed consent. Eligible participants were prediabetic Chinese men and women aged 45-75 years with a BMI between 19.5 and 32.0 kg/m². Prediabetes was defined based on ADA criteria as having one or more of the following: (1) fasting blood glucose &gt; 5.5 mmol/L and &lt; 7.0 mmol/L, (2) oral glucose tolerance test (OGTT) value ≥ 7.8 mmol/L and ≤ 11.0 mmol/L, or (3) HbA1c ≥ 5.7% and ≤ 6.4%. Major exclusion criteria included smoking, food allergies or dietary restrictions, sustained hypertension (&gt; 160/95 mmHg), and a history of metabolic, cardiovascular, hepatic, renal, or thyroid disorders, as well as recent weight loss. Recruitment was conducted via newspaper advertisements, word of mouth, and a local research database. Screening involved completion of a Health and Lifestyle Questionnaire, anthropometric assessments, and biochemical measurements, including HbA1c (DCA Vantage, Siemens), fasting glucose/OGTT (HemoCue 201, Radiometer), height (Seca 217), and weight (Tanita BC-418). The 2-hour OGTT was performed using a 75g glucose solution. Participants were reimbursed for travel and time.</w:t>
      </w:r>
    </w:p>
    <w:p w14:paraId="00000061">
      <w:pPr>
        <w:jc w:val="both"/>
        <w:rPr>
          <w:rFonts w:ascii="Times New Roman" w:hAnsi="Times New Roman" w:eastAsia="Times New Roman" w:cs="Times New Roman"/>
        </w:rPr>
      </w:pPr>
    </w:p>
    <w:p w14:paraId="00000062">
      <w:pPr>
        <w:spacing w:after="0" w:line="276" w:lineRule="auto"/>
        <w:jc w:val="both"/>
        <w:rPr>
          <w:rFonts w:hint="default" w:ascii="Times New Roman Regular" w:hAnsi="Times New Roman Regular" w:eastAsia="Times New Roman" w:cs="Times New Roman Regular"/>
          <w:b/>
          <w:sz w:val="26"/>
          <w:szCs w:val="26"/>
        </w:rPr>
      </w:pPr>
      <w:r>
        <w:rPr>
          <w:rFonts w:ascii="Times New Roman" w:hAnsi="Times New Roman" w:eastAsia="Times New Roman" w:cs="Times New Roman"/>
          <w:b/>
          <w:rtl w:val="0"/>
        </w:rPr>
        <w:t>S</w:t>
      </w:r>
      <w:r>
        <w:rPr>
          <w:rFonts w:hint="default" w:ascii="Times New Roman Regular" w:hAnsi="Times New Roman Regular" w:eastAsia="Times New Roman" w:cs="Times New Roman Regular"/>
          <w:b/>
          <w:rtl w:val="0"/>
        </w:rPr>
        <w:t>ample collection and processing</w:t>
      </w:r>
    </w:p>
    <w:p w14:paraId="00000063">
      <w:pPr>
        <w:spacing w:after="0" w:line="276" w:lineRule="auto"/>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Discovery Cohort.</w:t>
      </w:r>
      <w:r>
        <w:rPr>
          <w:rFonts w:hint="default" w:ascii="Times New Roman Regular" w:hAnsi="Times New Roman Regular" w:eastAsia="Times New Roman" w:cs="Times New Roman Regular"/>
          <w:b/>
          <w:rtl w:val="0"/>
        </w:rPr>
        <w:t xml:space="preserve"> </w:t>
      </w:r>
      <w:r>
        <w:rPr>
          <w:rFonts w:hint="default" w:ascii="Times New Roman Regular" w:hAnsi="Times New Roman Regular" w:eastAsia="Times New Roman" w:cs="Times New Roman Regular"/>
          <w:rtl w:val="0"/>
        </w:rPr>
        <w:t>Biological samples were collected longitudinally from four body sites: stool, skin (forehead), oral cavity (buccal mucosa), and nasal cavity. Sampling occurred approximately every 3 months over up to six years, with additional collections during acute events (</w:t>
      </w:r>
      <w:r>
        <w:rPr>
          <w:rFonts w:hint="default" w:ascii="Times New Roman Regular" w:hAnsi="Times New Roman Regular" w:eastAsia="Times New Roman" w:cs="Times New Roman Regular"/>
          <w:i/>
          <w:rtl w:val="0"/>
        </w:rPr>
        <w:t>e.g.</w:t>
      </w:r>
      <w:r>
        <w:rPr>
          <w:rFonts w:hint="default" w:ascii="Times New Roman Regular" w:hAnsi="Times New Roman Regular" w:eastAsia="Times New Roman" w:cs="Times New Roman Regular"/>
          <w:rtl w:val="0"/>
        </w:rPr>
        <w:t>, respiratory infections, vaccination, or antibiotic use). All participants were instructed to avoid topical antibiotics and oral antiseptics for at least 24 hours before</w:t>
      </w:r>
      <w:r>
        <w:rPr>
          <w:rFonts w:hint="default" w:ascii="Times New Roman Regular" w:hAnsi="Times New Roman Regular" w:eastAsia="Gungsuh" w:cs="Times New Roman Regular"/>
          <w:rtl w:val="0"/>
        </w:rPr>
        <w:t xml:space="preserve"> collection. Samples were self-collected or obtained by trained staff and immediately stored at −80°C until processing. DNA was extracted using standardized protocols, followed by 16S rRNA gene sequencing targeting the V4 region to resolve amplicon sequence variants (ASVs). Plasma samples were collected concurrently by venipuncture after an overnight fast and used for steady-state plasma glucose (SSPG), HbA1c, fasting glucose (FG), and multi-omics assays (proteomics, metabolomics, lipidomics, cytokines). Quality control included technical replicates and negative extraction controls.</w:t>
      </w:r>
    </w:p>
    <w:p w14:paraId="00000064">
      <w:pPr>
        <w:spacing w:before="240" w:after="240"/>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Validation Cohort 1</w:t>
      </w:r>
      <w:r>
        <w:rPr>
          <w:rFonts w:hint="default" w:ascii="Times New Roman Regular" w:hAnsi="Times New Roman Regular" w:eastAsia="Gungsuh" w:cs="Times New Roman Regular"/>
          <w:rtl w:val="0"/>
        </w:rPr>
        <w:t xml:space="preserve">. Microbiome samples were collected at baseline and after the 6-month intervention period. Stool samples were self-collected at home using standardized kits and shipped under controlled temperature conditions. Oral microbiome samples were obtained via subgingival plaque swabs using sterile dental curettes by trained dental professionals. All samples were stored at −80°C </w:t>
      </w:r>
      <w:r>
        <w:rPr>
          <w:rFonts w:hint="default" w:ascii="Times New Roman Regular" w:hAnsi="Times New Roman Regular" w:eastAsia="Times New Roman" w:cs="Times New Roman Regular"/>
          <w:rtl w:val="0"/>
        </w:rPr>
        <w:t xml:space="preserve">before DNA extraction. Microbial composition was analyzed via whole-metagenome shotgun sequencing. Concurrently, venous blood samples were collected in serum-separating tubes (SST), centrifuged, and aliquoted for metabolomic and cytokine profiling. </w:t>
      </w:r>
    </w:p>
    <w:p w14:paraId="00000065">
      <w:pPr>
        <w:spacing w:before="240" w:after="240"/>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Validation Cohort 2</w:t>
      </w:r>
      <w:r>
        <w:rPr>
          <w:rFonts w:hint="default" w:ascii="Times New Roman Regular" w:hAnsi="Times New Roman Regular" w:eastAsia="Times New Roman" w:cs="Times New Roman Regular"/>
          <w:rtl w:val="0"/>
        </w:rPr>
        <w:t>.</w:t>
      </w:r>
      <w:r>
        <w:rPr>
          <w:rFonts w:hint="default" w:ascii="Times New Roman Regular" w:hAnsi="Times New Roman Regular" w:eastAsia="Times New Roman" w:cs="Times New Roman Regular"/>
          <w:b/>
          <w:rtl w:val="0"/>
        </w:rPr>
        <w:t xml:space="preserve"> </w:t>
      </w:r>
      <w:r>
        <w:rPr>
          <w:rFonts w:hint="default" w:ascii="Times New Roman Regular" w:hAnsi="Times New Roman Regular" w:eastAsia="Gungsuh" w:cs="Times New Roman Regular"/>
          <w:rtl w:val="0"/>
        </w:rPr>
        <w:t>At the screening and baseline enrollment visits, participants underwent standardized sample collection after an overnight fast (≥ 10 hours). Blood samples were obtained via venipuncture for measurement of fasting plasma glucose (FG), oral glucose tolerance test (OGTT) with 75g glucose load, and HbA1c levels. Glucose assays were performed using HemoCue® 201 (Radiometer, Denmark), and HbA1c was assessed using the DCA Vantage Analyzer (Siemens, USA). Anthropometric measurements included body weight (Tanita BC-418), height (Seca 217), and BMI calculation. While no microbiome samples were collected in this cohort, the clinical data supported metabolic phenotyping for insulin sensitivity status. All biological materials were processed within 2 hours of collection and stored at −80 °C for further analysis. Instruments were regularly calibrated, and staff adhered to standardized protocols.</w:t>
      </w:r>
    </w:p>
    <w:p w14:paraId="00000066">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Microbiome data acquisition and processing</w:t>
      </w:r>
    </w:p>
    <w:p w14:paraId="00000067">
      <w:pPr>
        <w:spacing w:after="0" w:line="276" w:lineRule="auto"/>
        <w:jc w:val="both"/>
        <w:rPr>
          <w:rFonts w:ascii="Times New Roman" w:hAnsi="Times New Roman" w:eastAsia="Times New Roman" w:cs="Times New Roman"/>
        </w:rPr>
      </w:pPr>
      <w:r>
        <w:rPr>
          <w:rFonts w:ascii="Times New Roman" w:hAnsi="Times New Roman" w:eastAsia="Times New Roman" w:cs="Times New Roman"/>
          <w:i/>
          <w:rtl w:val="0"/>
        </w:rPr>
        <w:t>Discovery cohort.</w:t>
      </w:r>
      <w:r>
        <w:rPr>
          <w:rFonts w:ascii="Times New Roman" w:hAnsi="Times New Roman" w:eastAsia="Times New Roman" w:cs="Times New Roman"/>
          <w:b/>
          <w:rtl w:val="0"/>
        </w:rPr>
        <w:t xml:space="preserve"> </w:t>
      </w:r>
      <w:r>
        <w:rPr>
          <w:rFonts w:ascii="Times New Roman" w:hAnsi="Times New Roman" w:eastAsia="Times New Roman" w:cs="Times New Roman"/>
          <w:rtl w:val="0"/>
        </w:rPr>
        <w:t xml:space="preserve">Microbial DNA was extracted from stool, skin, oral, and nasal samples using the Qiagen PowerSoil DNA Isolation Kit, with mechanical bead-beating to ensure broad lysis of microbial cells. The V4 region of the 16S rRNA gene was PCR-amplified using barcoded primers and sequenced on the Illumina MiSeq platform (2 × 250 bp). Raw sequences were demultiplexed, quality-filtered, and processed using the DADA2 pipeline to generate amplicon sequence variants (ASVs). Taxonomy was assigned via the SILVA reference database (v138). </w:t>
      </w:r>
    </w:p>
    <w:p w14:paraId="00000068">
      <w:pPr>
        <w:spacing w:after="0" w:line="276" w:lineRule="auto"/>
        <w:jc w:val="both"/>
        <w:rPr>
          <w:rFonts w:ascii="Times New Roman" w:hAnsi="Times New Roman" w:eastAsia="Times New Roman" w:cs="Times New Roman"/>
        </w:rPr>
      </w:pPr>
    </w:p>
    <w:p w14:paraId="00000069">
      <w:pPr>
        <w:spacing w:after="0" w:line="276" w:lineRule="auto"/>
        <w:jc w:val="both"/>
        <w:rPr>
          <w:rFonts w:ascii="Times New Roman" w:hAnsi="Times New Roman" w:eastAsia="Times New Roman" w:cs="Times New Roman"/>
        </w:rPr>
      </w:pPr>
      <w:r>
        <w:rPr>
          <w:rFonts w:ascii="Times New Roman" w:hAnsi="Times New Roman" w:eastAsia="Times New Roman" w:cs="Times New Roman"/>
          <w:i/>
          <w:rtl w:val="0"/>
        </w:rPr>
        <w:t>Validation cohort 1.</w:t>
      </w:r>
      <w:r>
        <w:rPr>
          <w:rFonts w:ascii="Times New Roman" w:hAnsi="Times New Roman" w:eastAsia="Times New Roman" w:cs="Times New Roman"/>
          <w:b/>
          <w:rtl w:val="0"/>
        </w:rPr>
        <w:t xml:space="preserve"> </w:t>
      </w:r>
      <w:r>
        <w:rPr>
          <w:rFonts w:ascii="Times New Roman" w:hAnsi="Times New Roman" w:eastAsia="Times New Roman" w:cs="Times New Roman"/>
          <w:rtl w:val="0"/>
        </w:rPr>
        <w:t>Whole-metagenome shotgun sequencing was conducted on DNA isolated from stool and subgingival plaque samples. DNA extraction followed by mechanical and enzymatic lysis using the ZymoBIOMICS DNA Miniprep Kit. Sequencing libraries were prepared using the Nextera XT kit and sequenced on the Illumina HiSeq platform (2 × 150 bp). Human reads were filtered out by alignment to the hg38 reference genome using Bowtie2. Taxonomic profiling was performed using MetaPhlAn3, and functional pathway analysis was conducted using HUMAnN3. Data were normalized to counts per million (CPM), and low-prevalence features were excluded. Both taxonomic and functional data were arcsine square root transformed before analysis. Diversity indices and inter-group differences were assessed using non-parametric statistical tests.</w:t>
      </w:r>
    </w:p>
    <w:p w14:paraId="0000006A">
      <w:pPr>
        <w:jc w:val="both"/>
        <w:rPr>
          <w:rFonts w:ascii="Times New Roman" w:hAnsi="Times New Roman" w:eastAsia="Times New Roman" w:cs="Times New Roman"/>
          <w:i/>
        </w:rPr>
      </w:pPr>
    </w:p>
    <w:p w14:paraId="0000006B">
      <w:pPr>
        <w:jc w:val="both"/>
        <w:rPr>
          <w:rFonts w:ascii="Times New Roman" w:hAnsi="Times New Roman" w:eastAsia="Times New Roman" w:cs="Times New Roman"/>
        </w:rPr>
      </w:pPr>
      <w:r>
        <w:rPr>
          <w:rFonts w:ascii="Times New Roman" w:hAnsi="Times New Roman" w:eastAsia="Times New Roman" w:cs="Times New Roman"/>
          <w:i/>
          <w:rtl w:val="0"/>
        </w:rPr>
        <w:t>Validation cohort 2.</w:t>
      </w:r>
      <w:r>
        <w:rPr>
          <w:rFonts w:ascii="Times New Roman" w:hAnsi="Times New Roman" w:eastAsia="Times New Roman" w:cs="Times New Roman"/>
          <w:rtl w:val="0"/>
        </w:rPr>
        <w:t xml:space="preserve"> Stool microbiome profiling was performed on DNA extracted from 450 μL stool aliquots preserved in DNA/RNA Shield (Zymo Research). Samples underwent enzymatic pretreatment with lysozyme, Proteinase K, and RNase A at 37 °C and 60 °C. Homogenization was performed twice using Lysing Matrix E tubes at 6 m/s for 40 s. Supernatants were subjected to further RNase A digestion, followed by phenol: chloroform extraction (1:1) and purification using the Maxwell® 16 FFS Nucleic Acid Extraction Kit (Promega). Sequencing libraries were prepared without PCR amplification and subjected to Illumina NovaSeq 6000 paired-end shotgun metagenomic sequencing. </w:t>
      </w:r>
    </w:p>
    <w:p w14:paraId="0000006C">
      <w:pPr>
        <w:spacing w:after="0" w:line="276" w:lineRule="auto"/>
        <w:jc w:val="both"/>
        <w:rPr>
          <w:rFonts w:ascii="Times New Roman" w:hAnsi="Times New Roman" w:eastAsia="Times New Roman" w:cs="Times New Roman"/>
        </w:rPr>
      </w:pPr>
    </w:p>
    <w:p w14:paraId="0000006D">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Plasma metabolome data acquisition and processing</w:t>
      </w:r>
    </w:p>
    <w:p w14:paraId="0000006E">
      <w:pPr>
        <w:jc w:val="both"/>
        <w:rPr>
          <w:rFonts w:ascii="Times New Roman" w:hAnsi="Times New Roman" w:eastAsia="Times New Roman" w:cs="Times New Roman"/>
        </w:rPr>
      </w:pPr>
      <w:r>
        <w:rPr>
          <w:rFonts w:ascii="Times New Roman" w:hAnsi="Times New Roman" w:eastAsia="Times New Roman" w:cs="Times New Roman"/>
          <w:i/>
          <w:rtl w:val="0"/>
        </w:rPr>
        <w:t xml:space="preserve">Discovery cohort. </w:t>
      </w:r>
      <w:r>
        <w:rPr>
          <w:rFonts w:ascii="Times New Roman" w:hAnsi="Times New Roman" w:eastAsia="Times New Roman" w:cs="Times New Roman"/>
          <w:rtl w:val="0"/>
        </w:rPr>
        <w:t>Untargeted metabolomic profiling was conducted on fasting plasma samples using liquid chromatography-mass spectrometry (LC-MS) with both hydrophilic interaction chromatography (HILIC) and reverse-phase liquid chromatography (RPLC) separation strategies. Metabolites were extracted using a ternary solvent system comprising acetone, acetonitrile, and methanol (1:1:1). Dried extracts were reconstituted in a 1:1 methanol: water solution before analysis. HILIC and RPLC separations were performed on Thermo Q Exactive Plus mass spectrometers in full MS scan mode under both positive and negative ionization modes. A ZIC-HILIC column was used for HILIC (mobile phase: 10 mM ammonium acetate in 50:50 and 95:5 acetonitrile: water), while RPLC used a Zorbax SBaq column with 0.06% acetic acid in water and methanol as the mobile phase. MS/MS spectra were acquired from pooled quality control (QC) samples for feature annotation. Data processing was performed using Progenesis QI software. Features detected in blanks or lacking linearity across dilutions were removed. Only features present in at least 33% of the samples were retained. Missing values were imputed using the k-nearest neighbors (kNN) algorithm. Metabolite class (HMDB.Class) and source information were annotated based on the Human Metabolome Database (HMDB)</w:t>
      </w:r>
      <w:r>
        <w:fldChar w:fldCharType="begin"/>
      </w:r>
      <w:r>
        <w:instrText xml:space="preserve"> HYPERLINK "https://www.zotero.org/google-docs/?OxMAkJ" \h </w:instrText>
      </w:r>
      <w:r>
        <w:fldChar w:fldCharType="separate"/>
      </w:r>
      <w:r>
        <w:rPr>
          <w:rFonts w:ascii="Times New Roman" w:hAnsi="Times New Roman" w:eastAsia="Times New Roman" w:cs="Times New Roman"/>
          <w:shd w:val="clear" w:fill="auto"/>
          <w:vertAlign w:val="superscript"/>
          <w:rtl w:val="0"/>
        </w:rPr>
        <w:t>76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6F">
      <w:pPr>
        <w:jc w:val="both"/>
        <w:rPr>
          <w:rFonts w:ascii="Times New Roman" w:hAnsi="Times New Roman" w:eastAsia="Times New Roman" w:cs="Times New Roman"/>
        </w:rPr>
      </w:pPr>
    </w:p>
    <w:p w14:paraId="00000070">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Untargeted metabolomic profiling was performed by Metabolon Inc. on serum samples using high-resolution LC-MS, with measurements taken on March 20, 2020. Metabolites were quantified based on normalized area counts. Quality control, batch correction, and metabolite identification were performed using Metabolon’s proprietary pipelines. The final processed dataset contained 1,095 metabolite features across 312 samples. Principal component analysis (PCA) was applied, and two principal components were removed during preprocessing. Outlier features (e.g., halogenated molecules such as “3-bromo-5-chloro-2,6-dihydroxybenzoic acid”) were flagged for caution. Final data were log-transformed for downstream analyses. Cytokine profiling in this cohort was performed independently using Olink’s proximity extension assay (PEA) and is not included in the metabolomics dataset.</w:t>
      </w:r>
    </w:p>
    <w:p w14:paraId="00000071">
      <w:pPr>
        <w:jc w:val="both"/>
        <w:rPr>
          <w:rFonts w:ascii="Times New Roman" w:hAnsi="Times New Roman" w:eastAsia="Times New Roman" w:cs="Times New Roman"/>
          <w:i/>
        </w:rPr>
      </w:pPr>
    </w:p>
    <w:p w14:paraId="00000072">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2. </w:t>
      </w:r>
      <w:r>
        <w:rPr>
          <w:rFonts w:ascii="Times New Roman" w:hAnsi="Times New Roman" w:eastAsia="Times New Roman" w:cs="Times New Roman"/>
          <w:rtl w:val="0"/>
        </w:rPr>
        <w:t>Targeted plasma metabolomics was performed using ultra-performance liquid chromatography coupled to tandem mass spectrometry (UPLC-MS/MS) on a Waters ACQUITY UPLC-Xevo TQ-S system. Sample preparation followed the N300 metabolomics kit protocol (Novogene, Beijing, China). Metabolites were separated on ACQUITY BEH C18 columns using an 18-minute linear gradient with eluent A (0.1% formic acid in water) and eluent B (acetonitrile: IPA = 70:30). The mass spectrometer operated in both positive and negative electrospray ionization modes. Multiple reaction monitoring (MRM) was used for metabolite detection, with compound identification based on Q1/Q3 transitions, retention time (RT), declustering potential (DP), and collision energy (CE). Quantification was performed using internal standard calibration curves. Raw data were processed using MassLynx v4.1 for peak integration and correction. Values below the detection limit were imputed using KNN.</w:t>
      </w:r>
    </w:p>
    <w:p w14:paraId="00000073">
      <w:pPr>
        <w:jc w:val="both"/>
        <w:rPr>
          <w:rFonts w:ascii="Times New Roman" w:hAnsi="Times New Roman" w:eastAsia="Times New Roman" w:cs="Times New Roman"/>
        </w:rPr>
      </w:pPr>
    </w:p>
    <w:p w14:paraId="00000074">
      <w:pPr>
        <w:jc w:val="both"/>
        <w:rPr>
          <w:rFonts w:ascii="Times New Roman" w:hAnsi="Times New Roman" w:eastAsia="Times New Roman" w:cs="Times New Roman"/>
          <w:b/>
        </w:rPr>
      </w:pPr>
      <w:r>
        <w:rPr>
          <w:rFonts w:ascii="Times New Roman" w:hAnsi="Times New Roman" w:eastAsia="Times New Roman" w:cs="Times New Roman"/>
          <w:b/>
          <w:rtl w:val="0"/>
        </w:rPr>
        <w:t>Statistics and reproducibility</w:t>
      </w:r>
    </w:p>
    <w:p w14:paraId="00000075">
      <w:pPr>
        <w:jc w:val="both"/>
        <w:rPr>
          <w:rFonts w:ascii="Times New Roman" w:hAnsi="Times New Roman" w:eastAsia="Times New Roman" w:cs="Times New Roman"/>
          <w:b/>
        </w:rPr>
      </w:pPr>
      <w:r>
        <w:rPr>
          <w:rFonts w:ascii="Times New Roman" w:hAnsi="Times New Roman" w:eastAsia="Times New Roman" w:cs="Times New Roman"/>
          <w:rtl w:val="0"/>
        </w:rPr>
        <w:t>All data processing, statistical analyses, and visualizations were performed using R (</w:t>
      </w:r>
      <w:r>
        <w:fldChar w:fldCharType="begin"/>
      </w:r>
      <w:r>
        <w:instrText xml:space="preserve"> HYPERLINK "https://www.r-project.org/" \h </w:instrText>
      </w:r>
      <w:r>
        <w:fldChar w:fldCharType="separate"/>
      </w:r>
      <w:r>
        <w:rPr>
          <w:rFonts w:ascii="Times New Roman" w:hAnsi="Times New Roman" w:eastAsia="Times New Roman" w:cs="Times New Roman"/>
          <w:color w:val="1155CC"/>
          <w:u w:val="single"/>
          <w:rtl w:val="0"/>
        </w:rPr>
        <w:t>https://www.r-project.org/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in RStudio. A full list of R packages used is provided in the </w:t>
      </w:r>
      <w:r>
        <w:rPr>
          <w:rFonts w:ascii="Times New Roman" w:hAnsi="Times New Roman" w:eastAsia="Times New Roman" w:cs="Times New Roman"/>
          <w:b/>
          <w:rtl w:val="0"/>
        </w:rPr>
        <w:t>Supplementary Note</w:t>
      </w:r>
      <w:r>
        <w:rPr>
          <w:rFonts w:ascii="Times New Roman" w:hAnsi="Times New Roman" w:eastAsia="Times New Roman" w:cs="Times New Roman"/>
          <w:rtl w:val="0"/>
        </w:rPr>
        <w:t>. Multiple comparisons were corrected using False Discovery Rate (FDR).  Figure icons were sourced from iconfont.cn and are used under the MIT license for non-commercial purposes (</w:t>
      </w:r>
      <w:r>
        <w:fldChar w:fldCharType="begin"/>
      </w:r>
      <w:r>
        <w:instrText xml:space="preserve"> HYPERLINK "https://pub.dev/packages/iconfont/license" \h </w:instrText>
      </w:r>
      <w:r>
        <w:fldChar w:fldCharType="separate"/>
      </w:r>
      <w:r>
        <w:rPr>
          <w:rFonts w:ascii="Times New Roman" w:hAnsi="Times New Roman" w:eastAsia="Times New Roman" w:cs="Times New Roman"/>
          <w:color w:val="1155CC"/>
          <w:u w:val="single"/>
          <w:rtl w:val="0"/>
        </w:rPr>
        <w:t>https://pub.dev/packages/iconfont/license</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76">
      <w:pPr>
        <w:jc w:val="both"/>
        <w:rPr>
          <w:rFonts w:ascii="Times New Roman" w:hAnsi="Times New Roman" w:eastAsia="Times New Roman" w:cs="Times New Roman"/>
          <w:i/>
        </w:rPr>
      </w:pPr>
    </w:p>
    <w:p w14:paraId="00000077">
      <w:pPr>
        <w:jc w:val="both"/>
        <w:rPr>
          <w:rFonts w:ascii="Times New Roman" w:hAnsi="Times New Roman" w:eastAsia="Times New Roman" w:cs="Times New Roman"/>
        </w:rPr>
      </w:pPr>
      <w:r>
        <w:rPr>
          <w:rFonts w:ascii="Times New Roman" w:hAnsi="Times New Roman" w:eastAsia="Times New Roman" w:cs="Times New Roman"/>
          <w:i/>
          <w:rtl w:val="0"/>
        </w:rPr>
        <w:t xml:space="preserve">Discovery cohort. </w:t>
      </w:r>
      <w:r>
        <w:rPr>
          <w:rFonts w:ascii="Times New Roman" w:hAnsi="Times New Roman" w:eastAsia="Times New Roman" w:cs="Times New Roman"/>
          <w:rtl w:val="0"/>
        </w:rPr>
        <w:t xml:space="preserve">This is a longitudinal study. To create the ‘cross-sectional’ dataset, we extracted summary information from the longitudinal data. Specifically, the mean intensity of each molecule was calculated for each participant across all time points. Similarly, each participant’s age was represented by the average age at the time of all sample collections. Oral and gut microbiome data were preprocessed before analysis to ensure consistency and reduce bias. First, microbial features were aggregated to the genus level, and only genera present in at least 10% of samples were retained to remove low-prevalence taxa. Relative abundance transformation was then applied to account for differences in sequencing depth across samples. The data were standardized using Z-score transformation (subtracting the mean and dividing by the standard deviation) to normalize feature scales. To control for potential confounding effects, a linear model was used to adjust for BMI, sex, IRIS group, and ethnicity. The resulting adjusted expression matrices were used for downstream analyses, ensuring comparability across participants and reducing systematic bias. </w:t>
      </w:r>
    </w:p>
    <w:p w14:paraId="00000078">
      <w:pPr>
        <w:jc w:val="both"/>
        <w:rPr>
          <w:rFonts w:ascii="Times New Roman" w:hAnsi="Times New Roman" w:eastAsia="Times New Roman" w:cs="Times New Roman"/>
        </w:rPr>
      </w:pPr>
    </w:p>
    <w:p w14:paraId="00000079">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Oral and gut microbiome compositional species and pathways data, serum metabolites and cytokines went through the same processing steps which included: (1) Log 10 transformation (2) Robust standardization using median and standard deviation calculated over 90% of the central distribution (3) Outliers clipping to five standard deviations from the mean (4) Features filtering out, if they existed in less than 20 samples (5) Missing values imputation with feature’s minimal value only if there was a value in participant’s complementary sample (pre- or post- intervention) (6) Batch correction if one of the first five principal components (PCs) explained at least 5% of the data’s variance and was significantly associated with a batch (P &lt; 0.05, Mann-Whitney U test), in a positive case it was inversely transformed and reduced from the data. Since this study only provided standardized species-level feature tables, the standardized species-level characteristic tables were also used in the subsequent model validation process.</w:t>
      </w:r>
    </w:p>
    <w:p w14:paraId="0000007A">
      <w:pPr>
        <w:jc w:val="both"/>
        <w:rPr>
          <w:rFonts w:ascii="Times New Roman" w:hAnsi="Times New Roman" w:eastAsia="Times New Roman" w:cs="Times New Roman"/>
          <w:b/>
        </w:rPr>
      </w:pPr>
    </w:p>
    <w:p w14:paraId="0000007B">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2 </w:t>
      </w:r>
      <w:r>
        <w:rPr>
          <w:rFonts w:ascii="Times New Roman" w:hAnsi="Times New Roman" w:eastAsia="Times New Roman" w:cs="Times New Roman"/>
          <w:rtl w:val="0"/>
        </w:rPr>
        <w:t>Gut metagenomic and plasma metabolomic data from the FBIP cohort were preprocessed to ensure consistency and quality for downstream analyses. Species-level microbial abundance profiles were aggregated to the genus level by summing species within each genus.</w:t>
      </w:r>
    </w:p>
    <w:p w14:paraId="0000007C">
      <w:pPr>
        <w:jc w:val="both"/>
        <w:rPr>
          <w:rFonts w:ascii="Times New Roman" w:hAnsi="Times New Roman" w:eastAsia="Times New Roman" w:cs="Times New Roman"/>
        </w:rPr>
      </w:pPr>
    </w:p>
    <w:p w14:paraId="0000007D">
      <w:pPr>
        <w:jc w:val="both"/>
        <w:rPr>
          <w:rFonts w:ascii="Times New Roman" w:hAnsi="Times New Roman" w:eastAsia="Times New Roman" w:cs="Times New Roman"/>
          <w:b/>
        </w:rPr>
      </w:pPr>
    </w:p>
    <w:p w14:paraId="0000007E">
      <w:pPr>
        <w:jc w:val="both"/>
        <w:rPr>
          <w:rFonts w:ascii="Times New Roman" w:hAnsi="Times New Roman" w:eastAsia="Times New Roman" w:cs="Times New Roman"/>
          <w:b/>
        </w:rPr>
      </w:pPr>
      <w:r>
        <w:rPr>
          <w:rFonts w:ascii="Times New Roman" w:hAnsi="Times New Roman" w:eastAsia="Times New Roman" w:cs="Times New Roman"/>
          <w:b/>
          <w:rtl w:val="0"/>
        </w:rPr>
        <w:t>Non-metric multidimensional scaling (NMDS)</w:t>
      </w:r>
    </w:p>
    <w:p w14:paraId="0000007F">
      <w:pPr>
        <w:jc w:val="both"/>
        <w:rPr>
          <w:rFonts w:ascii="Times New Roman" w:hAnsi="Times New Roman" w:eastAsia="Times New Roman" w:cs="Times New Roman"/>
        </w:rPr>
      </w:pPr>
      <w:r>
        <w:rPr>
          <w:rFonts w:ascii="Times New Roman" w:hAnsi="Times New Roman" w:eastAsia="Times New Roman" w:cs="Times New Roman"/>
          <w:rtl w:val="0"/>
        </w:rPr>
        <w:t xml:space="preserve">NMDS was used to visualize differences in microbiome composition. Bray-Curtis dissimilarity was first calculated using genus-level relative abundance data with the phyloseq::distance function. The resulting distance matrix was subjected to NMDS ordination via the ordinate function from the </w:t>
      </w:r>
      <w:r>
        <w:rPr>
          <w:rFonts w:ascii="Times New Roman" w:hAnsi="Times New Roman" w:eastAsia="Times New Roman" w:cs="Times New Roman"/>
          <w:i/>
          <w:rtl w:val="0"/>
        </w:rPr>
        <w:t>phyloseq</w:t>
      </w:r>
      <w:r>
        <w:rPr>
          <w:rFonts w:ascii="Times New Roman" w:hAnsi="Times New Roman" w:eastAsia="Times New Roman" w:cs="Times New Roman"/>
          <w:rtl w:val="0"/>
        </w:rPr>
        <w:t xml:space="preserve"> package. </w:t>
      </w:r>
    </w:p>
    <w:p w14:paraId="00000080">
      <w:pPr>
        <w:jc w:val="both"/>
        <w:rPr>
          <w:rFonts w:ascii="Times New Roman" w:hAnsi="Times New Roman" w:eastAsia="Times New Roman" w:cs="Times New Roman"/>
        </w:rPr>
      </w:pPr>
    </w:p>
    <w:p w14:paraId="00000081">
      <w:pPr>
        <w:jc w:val="both"/>
        <w:rPr>
          <w:rFonts w:ascii="Times New Roman" w:hAnsi="Times New Roman" w:eastAsia="Times New Roman" w:cs="Times New Roman"/>
          <w:b/>
        </w:rPr>
      </w:pPr>
      <w:r>
        <w:rPr>
          <w:rFonts w:ascii="Times New Roman" w:hAnsi="Times New Roman" w:eastAsia="Times New Roman" w:cs="Times New Roman"/>
          <w:b/>
          <w:rtl w:val="0"/>
        </w:rPr>
        <w:t>Core microbiota identification</w:t>
      </w:r>
    </w:p>
    <w:p w14:paraId="00000082">
      <w:pPr>
        <w:jc w:val="both"/>
        <w:rPr>
          <w:rFonts w:ascii="Times New Roman" w:hAnsi="Times New Roman" w:eastAsia="Times New Roman" w:cs="Times New Roman"/>
        </w:rPr>
      </w:pPr>
      <w:r>
        <w:rPr>
          <w:rFonts w:ascii="Times New Roman" w:hAnsi="Times New Roman" w:eastAsia="Times New Roman" w:cs="Times New Roman"/>
          <w:rtl w:val="0"/>
        </w:rPr>
        <w:t xml:space="preserve">To identify core microbiota across four body sites, the gut, oral cavity, skin, and nasal cavity, we performed a series of data processing and filtering steps based on relative abundance and prevalence thresholds. Microbiome profiling data were aggregated at the genus level using the summarize_variables() function from the </w:t>
      </w:r>
      <w:r>
        <w:rPr>
          <w:rFonts w:ascii="Times New Roman" w:hAnsi="Times New Roman" w:eastAsia="Times New Roman" w:cs="Times New Roman"/>
          <w:i/>
          <w:rtl w:val="0"/>
        </w:rPr>
        <w:t>microbiomedataset</w:t>
      </w:r>
      <w:r>
        <w:rPr>
          <w:rFonts w:ascii="Times New Roman" w:hAnsi="Times New Roman" w:eastAsia="Times New Roman" w:cs="Times New Roman"/>
          <w:rtl w:val="0"/>
        </w:rPr>
        <w:t xml:space="preserve"> package</w:t>
      </w:r>
      <w:r>
        <w:fldChar w:fldCharType="begin"/>
      </w:r>
      <w:r>
        <w:instrText xml:space="preserve"> HYPERLINK "https://www.zotero.org/google-docs/?rVErKL" \h </w:instrText>
      </w:r>
      <w:r>
        <w:fldChar w:fldCharType="separate"/>
      </w:r>
      <w:r>
        <w:rPr>
          <w:rFonts w:ascii="Times New Roman" w:hAnsi="Times New Roman" w:eastAsia="Times New Roman" w:cs="Times New Roman"/>
          <w:shd w:val="clear" w:fill="auto"/>
          <w:vertAlign w:val="superscript"/>
          <w:rtl w:val="0"/>
        </w:rPr>
        <w:t>77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summing intensities by genus. To avoid sequencing contamination and the increase of false positive rate of analysis due to rare species, only genera present in more than 10% of samples per site were retained to remove extremely rare taxa, and all remaining data were transformed into relative abundances via transform2relative_intensity(). After preprocessing, genus-level abundance tables from the four sites were merged. To ensure taxonomic consistency across datasets, a unified genus list was constructed, and zero values were imputed where taxa were missing from specific datasets. Sample metadata were appended to track subject identity and anatomical site of origin. These data were then used to construct a phyloseq object for downstream analysis. Core genera were identified independently within each body site using the core_members() function from the </w:t>
      </w:r>
      <w:r>
        <w:rPr>
          <w:rFonts w:ascii="Times New Roman" w:hAnsi="Times New Roman" w:eastAsia="Times New Roman" w:cs="Times New Roman"/>
          <w:i/>
          <w:rtl w:val="0"/>
        </w:rPr>
        <w:t>microbiome</w:t>
      </w:r>
      <w:r>
        <w:rPr>
          <w:rFonts w:ascii="Times New Roman" w:hAnsi="Times New Roman" w:eastAsia="Times New Roman" w:cs="Times New Roman"/>
          <w:rtl w:val="0"/>
        </w:rPr>
        <w:t xml:space="preserve"> package. A taxon was considered part of the core microbiota if it exceeded a detection threshold of 0.1% relative abundance in at least 50% of samples (prevalence threshold) within the respective site. If more than 10 core genera were detected in a site, the top 10 most abundant were retained for consistency in visualization.</w:t>
      </w:r>
    </w:p>
    <w:p w14:paraId="00000083">
      <w:pPr>
        <w:jc w:val="both"/>
        <w:rPr>
          <w:rFonts w:ascii="Times New Roman" w:hAnsi="Times New Roman" w:eastAsia="Times New Roman" w:cs="Times New Roman"/>
        </w:rPr>
      </w:pPr>
      <w:r>
        <w:rPr>
          <w:rFonts w:ascii="Times New Roman" w:hAnsi="Times New Roman" w:eastAsia="Times New Roman" w:cs="Times New Roman"/>
          <w:rtl w:val="0"/>
        </w:rPr>
        <w:t>To assess the robustness of core taxa across detection and prevalence thresholds, we used the plot_core() function to generate heatmaps, displaying the proportion of samples in which each genus was detected across varying detection thresholds (0.0001 to 0.2) and prevalence levels (5% to 100%).</w:t>
      </w:r>
    </w:p>
    <w:p w14:paraId="00000084">
      <w:pPr>
        <w:jc w:val="both"/>
        <w:rPr>
          <w:rFonts w:ascii="Times New Roman" w:hAnsi="Times New Roman" w:eastAsia="Times New Roman" w:cs="Times New Roman"/>
        </w:rPr>
      </w:pPr>
    </w:p>
    <w:p w14:paraId="00000085">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Distance matrix-based variance estimation</w:t>
      </w:r>
    </w:p>
    <w:p w14:paraId="00000086">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To evaluate the overall impact of microbiomes from different body sites on the plasma metabolome, we first preprocessed the microbiome data collected from four sites: the gut, the oral cavity, the nasal cavity, and the skin. For each body site, microbial abundance data at the genus level were filtered to retain genera present in at least 10% of the samples. </w:t>
      </w:r>
    </w:p>
    <w:p w14:paraId="0000008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For the plasma metabolomics dataset, metabolites were log2-transformed and similarly adjusted using linear modeling to correct for the same covariates. A subset of microbiota-derived metabolites was also identified based on HMDB annotations and analyzed separately.</w:t>
      </w:r>
    </w:p>
    <w:p w14:paraId="0000008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 xml:space="preserve">To quantify the explanatory power of each site-specific microbiome on the plasma metabolome, we used Permutational Multivariate Analysis of Variance (PERMANOVA) via the adonis2 function from the </w:t>
      </w:r>
      <w:r>
        <w:rPr>
          <w:rFonts w:ascii="Times New Roman" w:hAnsi="Times New Roman" w:eastAsia="Times New Roman" w:cs="Times New Roman"/>
          <w:i/>
          <w:rtl w:val="0"/>
        </w:rPr>
        <w:t>vegan</w:t>
      </w:r>
      <w:r>
        <w:rPr>
          <w:rFonts w:ascii="Times New Roman" w:hAnsi="Times New Roman" w:eastAsia="Times New Roman" w:cs="Times New Roman"/>
          <w:rtl w:val="0"/>
        </w:rPr>
        <w:t xml:space="preserve"> R package. Euclidean distances were computed for metabolomic profiles, and PERMANOVA models were constructed with individual microbial genera as predictors. Genera significantly associated with metabolomic variation (P &lt; 0.05) were then included in a final multivariate model to calculate the cumulative explained variance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w:t>
      </w:r>
    </w:p>
    <w:p w14:paraId="00000089">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This procedure was performed separately for the full metabolomic dataset and the subset of microbial-origin metabolites, allowing comparison of site-specific microbiome influence on both overall and microbially related metabolic profiles.</w:t>
      </w:r>
    </w:p>
    <w:p w14:paraId="0000008A">
      <w:pPr>
        <w:spacing w:after="0" w:line="276" w:lineRule="auto"/>
        <w:jc w:val="both"/>
        <w:rPr>
          <w:rFonts w:ascii="Times New Roman" w:hAnsi="Times New Roman" w:eastAsia="Times New Roman" w:cs="Times New Roman"/>
        </w:rPr>
      </w:pPr>
    </w:p>
    <w:p w14:paraId="0000008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Principal Component Analysis (PCA)</w:t>
      </w:r>
    </w:p>
    <w:p w14:paraId="0000008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PCA was conducted using the </w:t>
      </w:r>
      <w:r>
        <w:rPr>
          <w:rFonts w:ascii="Times New Roman" w:hAnsi="Times New Roman" w:eastAsia="Times New Roman" w:cs="Times New Roman"/>
          <w:i/>
          <w:rtl w:val="0"/>
        </w:rPr>
        <w:t>massstat</w:t>
      </w:r>
      <w:r>
        <w:rPr>
          <w:rFonts w:ascii="Times New Roman" w:hAnsi="Times New Roman" w:eastAsia="Times New Roman" w:cs="Times New Roman"/>
          <w:rtl w:val="0"/>
        </w:rPr>
        <w:t xml:space="preserve"> package (v1.0.6) on the normalized, log2-transformed, and covariate-adjusted metabolite intensities. Before PCA, metabolite data were adjusted for potential confounding factors (BMI, sex, and ethnicity) using linear models. To visually integrate microbiome and metabolome data, we created a PCA biplot incorporating bacterial contribution vectors. The top five bacterial genera with the strongest correlations to metabolome PC1 were selected for this analysis. The environmental fitting approach (envfit function from the </w:t>
      </w:r>
      <w:r>
        <w:rPr>
          <w:rFonts w:ascii="Times New Roman" w:hAnsi="Times New Roman" w:eastAsia="Times New Roman" w:cs="Times New Roman"/>
          <w:i/>
          <w:rtl w:val="0"/>
        </w:rPr>
        <w:t>vegan</w:t>
      </w:r>
      <w:r>
        <w:rPr>
          <w:rFonts w:ascii="Times New Roman" w:hAnsi="Times New Roman" w:eastAsia="Times New Roman" w:cs="Times New Roman"/>
          <w:rtl w:val="0"/>
        </w:rPr>
        <w:t xml:space="preserve"> package) was employed to project bacterial influences onto the metabolome PCA space. The contribution of each genus to the metabolome principal components was calculated based on 999 permutations. Bacterial contribution vectors were scaled according to their correlation strength and overlaid on the PCA plot. The direction and length of these vectors indicate the strength and direction of the relationship between each bacterial genus and the metabolomic profile represented by PC1 and PC2. This visualization approach allows for the interpretation of how variations in specific bacterial taxa may relate to the overall metabolic landscape.</w:t>
      </w:r>
    </w:p>
    <w:p w14:paraId="0000008D">
      <w:pPr>
        <w:spacing w:after="0" w:line="276" w:lineRule="auto"/>
        <w:jc w:val="both"/>
        <w:rPr>
          <w:rFonts w:ascii="Times New Roman" w:hAnsi="Times New Roman" w:eastAsia="Times New Roman" w:cs="Times New Roman"/>
        </w:rPr>
      </w:pPr>
    </w:p>
    <w:p w14:paraId="0000008E">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Gradient Boosting Decision Tree (GBDT) model  </w:t>
      </w:r>
    </w:p>
    <w:p w14:paraId="0000008F">
      <w:pPr>
        <w:spacing w:after="0" w:line="276" w:lineRule="auto"/>
        <w:ind w:firstLine="720"/>
        <w:jc w:val="both"/>
        <w:rPr>
          <w:rFonts w:hint="default" w:ascii="Times New Roman Regular" w:hAnsi="Times New Roman Regular" w:eastAsia="Times New Roman" w:cs="Times New Roman Regular"/>
          <w:vertAlign w:val="baseline"/>
        </w:rPr>
      </w:pPr>
      <w:r>
        <w:rPr>
          <w:rFonts w:hint="default" w:ascii="Times New Roman Regular" w:hAnsi="Times New Roman Regular" w:eastAsia="Gungsuh" w:cs="Times New Roman Regular"/>
          <w:vertAlign w:val="baseline"/>
          <w:rtl w:val="0"/>
        </w:rPr>
        <w:t>To evaluate the gut microbiome's explanatory capacity for plasma metabolite levels, we developed individualized GBDT models for each metabolite. These models utilized genus-level gut microbial abundances as predictors and the corresponding metabolite's relative concentration across samples as the response variable. Feature selection was performed by calculating Spearman correlation coefficients between each metabolite and all microbial genera. We retained only genera meeting dual criteria: (1) absolute correlation coefficient ≥ 0.3, and (2) P &lt; 0.05. The GBDT models were parameterized following extensive hyperparameter optimization. We selected 50 trees based on convergence analysis, which showed that model performance plateaued beyond this number while avoiding overfitting given our sample size. The learning rate of 0.01 was chosen to ensure stable convergence while maintaining model interpretability. A minimum of 8 observations per terminal node (approximately 7.5% of our sample size) was enforced to prevent overfitting to individual samples while preserving sufficient model flexibility. These parameters were validated through permutation testing, which confirmed that our models captured genuine biological signals rather than noise. To ensure robust performance assessment, we implemented a bootstrap resampling approach with 100 iterations. Each iteration incorporated 10-fold cross-validation on the training set, and model performance was quantified using the coefficient of determination (R²). For each metabolite, the explanatory power was summarized as the mean R² across bootstrap replicates, along with the corresponding 95% confidence interval. To statistically evaluate whether the observed explanatory power was greater than expected by chance, we performed a one-sample t-test comparing the distribution of R² values to zero. Unlike Wald tests commonly used in parametric linear models to assess the significance of individual coefficients, our modeling framework is non-parametric and non-linear, focusing on overall model performance rather than inference on individual predictors. Therefore, the one-sample t-test is appropriate for testing whether the average variance explained by the model significantly exceeds the null expectation of zero explanatory power. This approach aligns with the objective of evaluating global predictive capacity in a machine learning setting, and is further supported by permutation-based model validation. The comprehensive results included average R² values per metabolite, counts of selected microbial features, feature-specific correlation statistics, and complete R² distributions across bootstrap iterations.</w:t>
      </w:r>
    </w:p>
    <w:p w14:paraId="00000090">
      <w:pPr>
        <w:spacing w:after="0" w:line="276" w:lineRule="auto"/>
        <w:jc w:val="both"/>
        <w:rPr>
          <w:rFonts w:ascii="Times New Roman" w:hAnsi="Times New Roman" w:eastAsia="Times New Roman" w:cs="Times New Roman"/>
        </w:rPr>
      </w:pPr>
    </w:p>
    <w:p w14:paraId="00000091">
      <w:pPr>
        <w:jc w:val="both"/>
        <w:rPr>
          <w:rFonts w:ascii="Times New Roman" w:hAnsi="Times New Roman" w:eastAsia="Times New Roman" w:cs="Times New Roman"/>
          <w:b/>
        </w:rPr>
      </w:pPr>
      <w:r>
        <w:rPr>
          <w:rFonts w:ascii="Times New Roman" w:hAnsi="Times New Roman" w:eastAsia="Times New Roman" w:cs="Times New Roman"/>
          <w:b/>
          <w:rtl w:val="0"/>
        </w:rPr>
        <w:t>Correlation network between microbiota and metabolites</w:t>
      </w:r>
    </w:p>
    <w:p w14:paraId="00000092">
      <w:pPr>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rtl w:val="0"/>
        </w:rPr>
        <w:t xml:space="preserve">To explore the associations between microbial taxa and plasma metabolites, we constructed correlation networks separately for gut, oral, skin, and nasal microbiomes. For each body site, microbial abundance data were first aggregated at the genus level using the summarize_variables() function from the </w:t>
      </w:r>
      <w:r>
        <w:rPr>
          <w:rFonts w:hint="default" w:ascii="Times New Roman Regular" w:hAnsi="Times New Roman Regular" w:eastAsia="Times New Roman" w:cs="Times New Roman Regular"/>
          <w:i/>
          <w:rtl w:val="0"/>
        </w:rPr>
        <w:t>microbiomedataset</w:t>
      </w:r>
      <w:r>
        <w:rPr>
          <w:rFonts w:hint="default" w:ascii="Times New Roman Regular" w:hAnsi="Times New Roman Regular" w:eastAsia="Gungsuh" w:cs="Times New Roman Regular"/>
          <w:rtl w:val="0"/>
        </w:rPr>
        <w:t xml:space="preserve"> package. Genera present in less than 10% of samples were excluded. Abundances were then transformed to relative intensities and standardized. Spearman correlation coefficients were computed between each genus and each plasma metabolite using the cor.test () function. Only associations with an absolute correlation coefficient ≥ 0.3 and a P &lt; 0.05 were retained as significant. The resulting significant microbiota-metabolite associations were integrated into a network using the </w:t>
      </w:r>
      <w:r>
        <w:rPr>
          <w:rFonts w:hint="default" w:ascii="Times New Roman Regular" w:hAnsi="Times New Roman Regular" w:eastAsia="Times New Roman" w:cs="Times New Roman Regular"/>
          <w:i/>
          <w:rtl w:val="0"/>
        </w:rPr>
        <w:t>igraph</w:t>
      </w:r>
      <w:r>
        <w:rPr>
          <w:rFonts w:hint="default" w:ascii="Times New Roman Regular" w:hAnsi="Times New Roman Regular" w:eastAsia="Times New Roman" w:cs="Times New Roman Regular"/>
          <w:rtl w:val="0"/>
        </w:rPr>
        <w:t xml:space="preserve"> and </w:t>
      </w:r>
      <w:r>
        <w:rPr>
          <w:rFonts w:hint="default" w:ascii="Times New Roman Regular" w:hAnsi="Times New Roman Regular" w:eastAsia="Times New Roman" w:cs="Times New Roman Regular"/>
          <w:i/>
          <w:rtl w:val="0"/>
        </w:rPr>
        <w:t>ggraph</w:t>
      </w:r>
      <w:r>
        <w:rPr>
          <w:rFonts w:hint="default" w:ascii="Times New Roman Regular" w:hAnsi="Times New Roman Regular" w:eastAsia="Times New Roman" w:cs="Times New Roman Regular"/>
          <w:rtl w:val="0"/>
        </w:rPr>
        <w:t xml:space="preserve"> packages. Nodes represented genera or metabolites, while edges denoted significant correlations. Node types (microbe or metabolite) and sample source (body site) were annotated. Network topologies, including degree, betweenness, closeness, and eigenvector centralities, were calculated to identify key nodes. The top genera (by degree) from each site and the top shared metabolites influenced by microbes from multiple sites were highlighted. Visualization was performed using a stress layout to improve readability and cluster separation in the network graph.</w:t>
      </w:r>
    </w:p>
    <w:p w14:paraId="00000093">
      <w:pPr>
        <w:spacing w:after="0" w:line="276" w:lineRule="auto"/>
        <w:jc w:val="both"/>
        <w:rPr>
          <w:rFonts w:ascii="Times New Roman" w:hAnsi="Times New Roman" w:eastAsia="Times New Roman" w:cs="Times New Roman"/>
        </w:rPr>
      </w:pPr>
    </w:p>
    <w:p w14:paraId="00000094">
      <w:pPr>
        <w:jc w:val="both"/>
        <w:rPr>
          <w:rFonts w:ascii="Times New Roman" w:hAnsi="Times New Roman" w:eastAsia="Times New Roman" w:cs="Times New Roman"/>
          <w:b/>
        </w:rPr>
      </w:pPr>
      <w:r>
        <w:rPr>
          <w:rFonts w:ascii="Times New Roman" w:hAnsi="Times New Roman" w:eastAsia="Times New Roman" w:cs="Times New Roman"/>
          <w:b/>
          <w:rtl w:val="0"/>
        </w:rPr>
        <w:t>LASSO regression model</w:t>
      </w:r>
    </w:p>
    <w:p w14:paraId="00000095">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We used LASSO regression to assess associations between gut microbial genera and plasma metabolites. A nested 5-fold cross-validation was used: the inner loop selected the optimal regularization parameter (λ), scaled by 1.5, and the outer loop evaluated model performance using R² and RMSE. For each metabolite, 100 permutations of the outcome variable were conducted to generate a null distribution of R² values, from which empirical P values were calculated. FDR correction was applied, and metabolites with FDR-adjusted P &lt; 0.05 were considered significant. </w:t>
      </w:r>
    </w:p>
    <w:p w14:paraId="00000096">
      <w:pPr>
        <w:spacing w:after="0" w:line="276" w:lineRule="auto"/>
        <w:jc w:val="both"/>
        <w:rPr>
          <w:rFonts w:ascii="Times New Roman" w:hAnsi="Times New Roman" w:eastAsia="Times New Roman" w:cs="Times New Roman"/>
        </w:rPr>
      </w:pPr>
    </w:p>
    <w:p w14:paraId="00000097">
      <w:pPr>
        <w:jc w:val="both"/>
        <w:rPr>
          <w:rFonts w:ascii="Times New Roman" w:hAnsi="Times New Roman" w:eastAsia="Times New Roman" w:cs="Times New Roman"/>
          <w:b/>
        </w:rPr>
      </w:pPr>
      <w:r>
        <w:rPr>
          <w:rFonts w:ascii="Times New Roman" w:hAnsi="Times New Roman" w:eastAsia="Times New Roman" w:cs="Times New Roman"/>
          <w:b/>
          <w:rtl w:val="0"/>
        </w:rPr>
        <w:t>Verification of the GBDT model in the validation cohort</w:t>
      </w:r>
    </w:p>
    <w:p w14:paraId="00000098">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After training the GBDT model in the discovery cohort, we validated the model on validation cohort 2. Specifically, we applied the trained model to predict metabolite levels in individuals from the validation cohort 2 using their corresponding input features. We then compared the predicted metabolite levels to the observed values in the validation cohort 2 by computing Pearson correlation coefficients. A metabolite was considered successfully predicted if the correlation between predicted and observed values was statistically significant (P &lt; 0.05). This approach allowed us to assess the model’s predictive power and generalizability across cohorts.</w:t>
      </w:r>
    </w:p>
    <w:p w14:paraId="00000099">
      <w:pPr>
        <w:spacing w:after="0" w:line="276" w:lineRule="auto"/>
        <w:jc w:val="both"/>
        <w:rPr>
          <w:rFonts w:ascii="Times New Roman" w:hAnsi="Times New Roman" w:eastAsia="Times New Roman" w:cs="Times New Roman"/>
        </w:rPr>
      </w:pPr>
    </w:p>
    <w:p w14:paraId="0000009A">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Metabolite class enrichment</w:t>
      </w:r>
    </w:p>
    <w:p w14:paraId="0000009B">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explore the biochemical characteristics of microbiome-associated metabolites, we performed metabolite class enrichment analysis across four body sites (gut, oral cavity, skin, and nasal cavity). Metabolite importance was derived from GBDT models previously trained to predict microbial genus profiles based on plasma metabolomics data. For each site, the R</w:t>
      </w:r>
      <w:r>
        <w:rPr>
          <w:rFonts w:ascii="Times New Roman" w:hAnsi="Times New Roman" w:eastAsia="Times New Roman" w:cs="Times New Roman"/>
          <w:vertAlign w:val="superscript"/>
          <w:rtl w:val="0"/>
        </w:rPr>
        <w:t xml:space="preserve">2 </w:t>
      </w:r>
      <w:r>
        <w:rPr>
          <w:rFonts w:ascii="Times New Roman" w:hAnsi="Times New Roman" w:eastAsia="Times New Roman" w:cs="Times New Roman"/>
          <w:rtl w:val="0"/>
        </w:rPr>
        <w:t>was used to rank metabolite predictive power.</w:t>
      </w:r>
    </w:p>
    <w:p w14:paraId="0000009C">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filtered metabolites with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&gt; 5% in each site as significant microbiome-associated metabolites. To identify overrepresented metabolite classes among these significant metabolites, we performed class enrichment analysis using a custom function based on the hypergeometric test. The analysis leveraged metabolite class annotations curated from the Human Metabolome Database (HMDB), focusing on the following manually selected categories: Benzene and substituted derivatives, Carboxylic acids and derivatives, Fatty Acyls, Glycerophospholipids, Indoles and derivatives, Organooxygen compounds, and Steroids and steroid derivatives.</w:t>
      </w:r>
    </w:p>
    <w:p w14:paraId="0000009D">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For each metabolite class, the number of significant metabolites observed was compared to the number expected by chance, given the total number of metabolites in that class and across all classes. Fold enrichment and enrichment P values were calculated using the hypergeometric distribution.</w:t>
      </w:r>
    </w:p>
    <w:p w14:paraId="0000009E">
      <w:pPr>
        <w:spacing w:after="0" w:line="276" w:lineRule="auto"/>
        <w:ind w:firstLine="720"/>
        <w:jc w:val="both"/>
        <w:rPr>
          <w:rFonts w:ascii="Times New Roman" w:hAnsi="Times New Roman" w:eastAsia="Times New Roman" w:cs="Times New Roman"/>
        </w:rPr>
      </w:pPr>
    </w:p>
    <w:p w14:paraId="0000009F">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Metabolomics pathway enrichment</w:t>
      </w:r>
    </w:p>
    <w:p w14:paraId="000000A0">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We used the HMDB pathway database from the </w:t>
      </w:r>
      <w:r>
        <w:rPr>
          <w:rFonts w:ascii="Times New Roman" w:hAnsi="Times New Roman" w:eastAsia="Times New Roman" w:cs="Times New Roman"/>
          <w:i/>
          <w:rtl w:val="0"/>
        </w:rPr>
        <w:t>metpath</w:t>
      </w:r>
      <w:r>
        <w:rPr>
          <w:rFonts w:ascii="Times New Roman" w:hAnsi="Times New Roman" w:eastAsia="Times New Roman" w:cs="Times New Roman"/>
          <w:rtl w:val="0"/>
        </w:rPr>
        <w:t xml:space="preserve"> package</w:t>
      </w:r>
      <w:r>
        <w:fldChar w:fldCharType="begin"/>
      </w:r>
      <w:r>
        <w:instrText xml:space="preserve"> HYPERLINK "https://www.zotero.org/google-docs/?qwINnK" \h </w:instrText>
      </w:r>
      <w:r>
        <w:fldChar w:fldCharType="separate"/>
      </w:r>
      <w:r>
        <w:rPr>
          <w:rFonts w:ascii="Times New Roman" w:hAnsi="Times New Roman" w:eastAsia="Times New Roman" w:cs="Times New Roman"/>
          <w:shd w:val="clear" w:fill="auto"/>
          <w:vertAlign w:val="superscript"/>
          <w:rtl w:val="0"/>
        </w:rPr>
        <w:t>78,79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ensure consistency and biological relevance, only pathways containing metabolites present in the study's annotation table were retained. The function enrich_hmdb was then applied to each body site's selected metabolites.</w:t>
      </w:r>
    </w:p>
    <w:p w14:paraId="000000A1">
      <w:pPr>
        <w:spacing w:after="0" w:line="276" w:lineRule="auto"/>
        <w:jc w:val="both"/>
        <w:rPr>
          <w:rFonts w:ascii="Times New Roman" w:hAnsi="Times New Roman" w:eastAsia="Times New Roman" w:cs="Times New Roman"/>
        </w:rPr>
      </w:pPr>
    </w:p>
    <w:p w14:paraId="000000A2">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GBDT with interaction factors</w:t>
      </w:r>
    </w:p>
    <w:p w14:paraId="000000A3">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capture potential synergistic or antagonistic relationships between gut and oral microbiota, we generated interaction features representing relationships between microbes from different body sites. For computational efficiency, the most informative gut and oral features were pre-selected based on a combination of variance and mean abundance. Interaction features were created using a multiplication approach, calculated as the product of gut and oral microbial abundances. To minimize spurious interactions, only feature pairs with a Spearman correlation coefficient above 0.3 were used to generate interaction features. For each metabolite, a final GBDT model was trained on the entire dataset to assess feature importance. The relative contribution of gut microbes, oral microbes, and their interaction features was quantified and compared. Special attention was given to analyzing which interaction features contributed substantially to metabolite prediction, providing insights into potential cross-talk between oral and gut microbial communities.</w:t>
      </w:r>
    </w:p>
    <w:p w14:paraId="000000A4">
      <w:pPr>
        <w:spacing w:after="0" w:line="276" w:lineRule="auto"/>
        <w:jc w:val="both"/>
        <w:rPr>
          <w:rFonts w:ascii="Times New Roman" w:hAnsi="Times New Roman" w:eastAsia="Times New Roman" w:cs="Times New Roman"/>
        </w:rPr>
      </w:pPr>
    </w:p>
    <w:p w14:paraId="000000A5">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Bi-directional mediation analysis</w:t>
      </w:r>
    </w:p>
    <w:p w14:paraId="000000A6">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Bidirectional mediation analysis was conducted to explore the potential causal relationships among oral microbiota, gut microbiota, and host plasma metabolites. First, Spearman correlations were calculated between oral microbiota and metabolites, as well as between gut microbiota and metabolites, to identify significantly associated pairs (P &lt; 0.05). Correlations between oral and gut microbial features were then computed to detect potential microbial interactions. Based on these associations, two mediation directions were evaluated: (1) oral microbiota-gut microbiota-metabolite, and (2) gut microbiota-oral microbiota-metabolite. For each direction, mediation analysis was performed using the R package </w:t>
      </w:r>
      <w:r>
        <w:rPr>
          <w:rFonts w:ascii="Times New Roman" w:hAnsi="Times New Roman" w:eastAsia="Times New Roman" w:cs="Times New Roman"/>
          <w:i/>
          <w:rtl w:val="0"/>
        </w:rPr>
        <w:t>mediation</w:t>
      </w:r>
      <w:r>
        <w:rPr>
          <w:rFonts w:ascii="Times New Roman" w:hAnsi="Times New Roman" w:eastAsia="Times New Roman" w:cs="Times New Roman"/>
          <w:rtl w:val="0"/>
        </w:rPr>
        <w:t xml:space="preserve">, applying linear models and nonparametric bootstrapping (100 simulations) to estimate the average causal mediation effect (ACME), its P value, and the proportion mediated. Significant mediation paths (ACME P &lt; 0.05) were retained, and P values were adjusted for multiple testing using the FDR method. </w:t>
      </w:r>
    </w:p>
    <w:p w14:paraId="000000A7">
      <w:pPr>
        <w:spacing w:after="0" w:line="276" w:lineRule="auto"/>
        <w:jc w:val="both"/>
        <w:rPr>
          <w:rFonts w:ascii="Times New Roman" w:hAnsi="Times New Roman" w:eastAsia="Times New Roman" w:cs="Times New Roman"/>
        </w:rPr>
      </w:pPr>
    </w:p>
    <w:p w14:paraId="000000A8">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Key metabolites differentially regulated by the oral-gut axis in IR </w:t>
      </w:r>
      <w:r>
        <w:rPr>
          <w:rFonts w:ascii="Times New Roman" w:hAnsi="Times New Roman" w:eastAsia="Times New Roman" w:cs="Times New Roman"/>
          <w:b/>
          <w:i/>
          <w:rtl w:val="0"/>
        </w:rPr>
        <w:t>vs.</w:t>
      </w:r>
      <w:r>
        <w:rPr>
          <w:rFonts w:ascii="Times New Roman" w:hAnsi="Times New Roman" w:eastAsia="Times New Roman" w:cs="Times New Roman"/>
          <w:b/>
          <w:rtl w:val="0"/>
        </w:rPr>
        <w:t xml:space="preserve"> IS individuals</w:t>
      </w:r>
    </w:p>
    <w:p w14:paraId="000000A9">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identify key metabolites differentially regulated by the oral-gut microbiome axis in IR versus IS individuals, we built GBDT models to predict microbial genus profiles (from both oral and gut sites) based on plasma metabolite levels. These models were trained separately within the IR and IS groups, enabling group-specific estimation of metabolite-microbiome association strength, quantified by the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We then compared metabolite-level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between the two groups. For each metabolite, the difference in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(IR minus IS) was calculated; metabolites with FDR-adjusted P &lt; 0.05 and absolute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differences &gt; 10% were considered significantly differentially regulated by the oral-gut axis between IR and IS individuals.</w:t>
      </w:r>
    </w:p>
    <w:p w14:paraId="000000AA">
      <w:pPr>
        <w:spacing w:after="0" w:line="276" w:lineRule="auto"/>
        <w:ind w:left="0" w:firstLine="0"/>
        <w:jc w:val="both"/>
        <w:rPr>
          <w:rFonts w:ascii="Times New Roman" w:hAnsi="Times New Roman" w:eastAsia="Times New Roman" w:cs="Times New Roman"/>
        </w:rPr>
      </w:pPr>
    </w:p>
    <w:p w14:paraId="000000AB">
      <w:pPr>
        <w:spacing w:after="0" w:line="276" w:lineRule="auto"/>
        <w:ind w:left="0" w:firstLine="0"/>
        <w:jc w:val="both"/>
        <w:rPr>
          <w:rFonts w:ascii="Times New Roman" w:hAnsi="Times New Roman" w:eastAsia="Times New Roman" w:cs="Times New Roman"/>
          <w:b/>
        </w:rPr>
      </w:pPr>
      <w:r>
        <w:rPr>
          <w:rFonts w:ascii="Times New Roman" w:hAnsi="Times New Roman" w:eastAsia="Times New Roman" w:cs="Times New Roman"/>
          <w:b/>
          <w:rtl w:val="0"/>
        </w:rPr>
        <w:t>Resource availability</w:t>
      </w:r>
    </w:p>
    <w:p w14:paraId="000000AC">
      <w:pPr>
        <w:spacing w:after="0" w:line="276" w:lineRule="auto"/>
        <w:ind w:left="0" w:firstLine="0"/>
        <w:jc w:val="both"/>
        <w:rPr>
          <w:rFonts w:ascii="Times New Roman" w:hAnsi="Times New Roman" w:eastAsia="Times New Roman" w:cs="Times New Roman"/>
          <w:b/>
        </w:rPr>
      </w:pPr>
      <w:r>
        <w:rPr>
          <w:rFonts w:ascii="Times New Roman" w:hAnsi="Times New Roman" w:eastAsia="Times New Roman" w:cs="Times New Roman"/>
          <w:b/>
          <w:rtl w:val="0"/>
        </w:rPr>
        <w:t>Lead contact</w:t>
      </w:r>
    </w:p>
    <w:p w14:paraId="000000AD">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Further information and requests for resources and reagents should be directed to and will be fulfilled by the lead contact, Xiaotao Shen (</w:t>
      </w:r>
      <w:r>
        <w:fldChar w:fldCharType="begin"/>
      </w:r>
      <w:r>
        <w:instrText xml:space="preserve"> HYPERLINK "mailto:xiaotao.shen@ntu.edu.sg" \h </w:instrText>
      </w:r>
      <w:r>
        <w:fldChar w:fldCharType="separate"/>
      </w:r>
      <w:r>
        <w:rPr>
          <w:rFonts w:ascii="Times New Roman" w:hAnsi="Times New Roman" w:eastAsia="Times New Roman" w:cs="Times New Roman"/>
          <w:color w:val="1155CC"/>
          <w:u w:val="single"/>
          <w:rtl w:val="0"/>
        </w:rPr>
        <w:t>xiaotao.shen@ntu.edu.sg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AE">
      <w:pPr>
        <w:spacing w:after="0" w:line="276" w:lineRule="auto"/>
        <w:ind w:left="0" w:firstLine="0"/>
        <w:jc w:val="both"/>
        <w:rPr>
          <w:rFonts w:ascii="Times New Roman" w:hAnsi="Times New Roman" w:eastAsia="Times New Roman" w:cs="Times New Roman"/>
          <w:b/>
        </w:rPr>
      </w:pPr>
    </w:p>
    <w:p w14:paraId="000000AF">
      <w:pPr>
        <w:spacing w:after="0" w:line="276" w:lineRule="auto"/>
        <w:ind w:left="0" w:firstLine="0"/>
        <w:jc w:val="both"/>
        <w:rPr>
          <w:rFonts w:ascii="Times New Roman" w:hAnsi="Times New Roman" w:eastAsia="Times New Roman" w:cs="Times New Roman"/>
          <w:b/>
        </w:rPr>
      </w:pPr>
      <w:r>
        <w:rPr>
          <w:rFonts w:ascii="Times New Roman" w:hAnsi="Times New Roman" w:eastAsia="Times New Roman" w:cs="Times New Roman"/>
          <w:b/>
          <w:rtl w:val="0"/>
        </w:rPr>
        <w:t>Materials availability</w:t>
      </w:r>
    </w:p>
    <w:p w14:paraId="000000B0">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This study did not generate new, unique reagents.</w:t>
      </w:r>
    </w:p>
    <w:p w14:paraId="000000B1">
      <w:pPr>
        <w:spacing w:after="0" w:line="276" w:lineRule="auto"/>
        <w:ind w:left="0" w:firstLine="0"/>
        <w:jc w:val="both"/>
        <w:rPr>
          <w:rFonts w:ascii="Times New Roman" w:hAnsi="Times New Roman" w:eastAsia="Times New Roman" w:cs="Times New Roman"/>
        </w:rPr>
      </w:pPr>
    </w:p>
    <w:p w14:paraId="000000B2">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Data and code availability</w:t>
      </w:r>
    </w:p>
    <w:p w14:paraId="000000B3">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This study utilized R (</w:t>
      </w:r>
      <w:r>
        <w:fldChar w:fldCharType="begin"/>
      </w:r>
      <w:r>
        <w:instrText xml:space="preserve"> HYPERLINK "https://www.r-project.org/" \h </w:instrText>
      </w:r>
      <w:r>
        <w:fldChar w:fldCharType="separate"/>
      </w:r>
      <w:r>
        <w:rPr>
          <w:rFonts w:ascii="Times New Roman" w:hAnsi="Times New Roman" w:eastAsia="Times New Roman" w:cs="Times New Roman"/>
          <w:color w:val="1155CC"/>
          <w:u w:val="single"/>
          <w:rtl w:val="0"/>
        </w:rPr>
        <w:t>https://www.r-project.org/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and its associated packages for statistical analysis and data processing. All code used for data processing, analysis, and visualization in this study can be accessed at </w:t>
      </w:r>
      <w:r>
        <w:fldChar w:fldCharType="begin"/>
      </w:r>
      <w:r>
        <w:instrText xml:space="preserve"> HYPERLINK "https://github.com/jaspershen-lab/triplem_project" \h </w:instrText>
      </w:r>
      <w:r>
        <w:fldChar w:fldCharType="separate"/>
      </w:r>
      <w:r>
        <w:rPr>
          <w:rFonts w:ascii="Times New Roman" w:hAnsi="Times New Roman" w:eastAsia="Times New Roman" w:cs="Times New Roman"/>
          <w:color w:val="1155CC"/>
          <w:u w:val="single"/>
          <w:rtl w:val="0"/>
        </w:rPr>
        <w:t>https://github.com/jaspershen-lab/triplem_project</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 xml:space="preserve"> </w:t>
      </w:r>
      <w:r>
        <w:rPr>
          <w:rFonts w:ascii="Times New Roman" w:hAnsi="Times New Roman" w:eastAsia="Times New Roman" w:cs="Times New Roman"/>
          <w:rtl w:val="0"/>
        </w:rPr>
        <w:t>The metagenomic and metabolomic data of the discovery cohort can be found in  http://hmp2-data.stanford.edu/. The metagenomic data of validation cohort 1 can be found  in the European Nucleotide Archive (ENA) under accession code PRJEB64861. The metagenomic data of validation cohort 2 can be found in the Sequence Read Archive (SRA) database under accession code PRJNA1201249. The metabolomics data of validation cohort 1 are available in the raw research paper. The metabolomics data of validation cohort 2 are available at Zenodo [</w:t>
      </w:r>
      <w:r>
        <w:fldChar w:fldCharType="begin"/>
      </w:r>
      <w:r>
        <w:instrText xml:space="preserve"> HYPERLINK "https://doi.org/10.5281/zenodo.14329282" \h </w:instrText>
      </w:r>
      <w:r>
        <w:fldChar w:fldCharType="separate"/>
      </w:r>
      <w:r>
        <w:rPr>
          <w:rFonts w:ascii="Times New Roman" w:hAnsi="Times New Roman" w:eastAsia="Times New Roman" w:cs="Times New Roman"/>
          <w:color w:val="1155CC"/>
          <w:u w:val="single"/>
          <w:rtl w:val="0"/>
        </w:rPr>
        <w:t>https://doi.org/10.5281/zenodo.14329282</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All source data supporting the findings are available as </w:t>
      </w:r>
      <w:r>
        <w:rPr>
          <w:rFonts w:ascii="Times New Roman" w:hAnsi="Times New Roman" w:eastAsia="Times New Roman" w:cs="Times New Roman"/>
          <w:b/>
          <w:rtl w:val="0"/>
        </w:rPr>
        <w:t>Supplemental information</w:t>
      </w:r>
      <w:r>
        <w:rPr>
          <w:rFonts w:ascii="Times New Roman" w:hAnsi="Times New Roman" w:eastAsia="Times New Roman" w:cs="Times New Roman"/>
          <w:rtl w:val="0"/>
        </w:rPr>
        <w:t>.</w:t>
      </w:r>
    </w:p>
    <w:p w14:paraId="000000B4">
      <w:pPr>
        <w:spacing w:after="0" w:line="276" w:lineRule="auto"/>
        <w:jc w:val="both"/>
        <w:rPr>
          <w:rFonts w:ascii="Times New Roman" w:hAnsi="Times New Roman" w:eastAsia="Times New Roman" w:cs="Times New Roman"/>
          <w:b/>
        </w:rPr>
      </w:pPr>
    </w:p>
    <w:p w14:paraId="000000B5">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Acknowledgments</w:t>
      </w:r>
    </w:p>
    <w:p w14:paraId="000000B6">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This work was supported by start-up funding provided to Xiaotao Shen from the Lee Kong Chian School of Medicine and the School of Chemistry, Chemical Engineering, and Biotechnology at Nanyang Technological University, Singapore.</w:t>
      </w:r>
    </w:p>
    <w:p w14:paraId="000000B7">
      <w:pPr>
        <w:spacing w:after="0" w:line="276" w:lineRule="auto"/>
        <w:jc w:val="both"/>
        <w:rPr>
          <w:rFonts w:ascii="Times New Roman" w:hAnsi="Times New Roman" w:eastAsia="Times New Roman" w:cs="Times New Roman"/>
          <w:b/>
        </w:rPr>
      </w:pPr>
    </w:p>
    <w:p w14:paraId="000000B8">
      <w:pPr>
        <w:spacing w:after="0" w:line="276" w:lineRule="auto"/>
        <w:jc w:val="both"/>
        <w:rPr>
          <w:rFonts w:ascii="Times New Roman" w:hAnsi="Times New Roman" w:eastAsia="Times New Roman" w:cs="Times New Roman"/>
          <w:highlight w:val="yellow"/>
        </w:rPr>
      </w:pPr>
      <w:r>
        <w:rPr>
          <w:rFonts w:ascii="Times New Roman" w:hAnsi="Times New Roman" w:eastAsia="Times New Roman" w:cs="Times New Roman"/>
          <w:b/>
          <w:rtl w:val="0"/>
        </w:rPr>
        <w:t>Author contributions</w:t>
      </w:r>
    </w:p>
    <w:p w14:paraId="000000B9">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X.S. conceived the study and provided overall supervision. J.Z. and X.S. analyzed the data. J.Z. and X.S. generated figures. X.S. and J.Z. wrote the manuscript. All authors reviewed and contributed to the final manuscript.</w:t>
      </w:r>
    </w:p>
    <w:p w14:paraId="000000BA">
      <w:pPr>
        <w:spacing w:after="0" w:line="276" w:lineRule="auto"/>
        <w:jc w:val="both"/>
        <w:rPr>
          <w:rFonts w:ascii="Times New Roman" w:hAnsi="Times New Roman" w:eastAsia="Times New Roman" w:cs="Times New Roman"/>
          <w:b/>
        </w:rPr>
      </w:pPr>
    </w:p>
    <w:p w14:paraId="000000B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Declaration of interests</w:t>
      </w:r>
    </w:p>
    <w:p w14:paraId="000000B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M.P.S. is a cofounder, scientific advisor, and shareholder of Filtricine, Iollo, January AI, Marble Therapeutics, Next Thought AI, Personalis, Protos Biologics, Qbio, RTHM, and SensOmics. M.P.S. is a scientific advisor and equity holder of Abbratech, Applied Cognition, Enovone, M3 Helium, and Onza. M.P.S. is a scientific advisor and stock option holder of Jupiter Therapeutics, Mitrix, Neuvivo, Sigil Biosciences, WndrHLTH, and Yuvan Research. M.P.S. is a cofounder and stock option holder of Crosshair Therapeutics. M.P.S. is an investor in and scientific advisor of R42 and Swaza. M.P.S. is an investor in Repair Biotechnologies. M.P.S. is a cofounder, shareholder, and director of Exposomics, Fodsel, and InVu Health. M.P.S. is a cofounder and equity holder of Mirvie, NiMo Therapeutics, and  Orange Street Ventures. The other authors declare no competing interests. </w:t>
      </w:r>
    </w:p>
    <w:p w14:paraId="000000BD">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 </w:t>
      </w:r>
    </w:p>
    <w:p w14:paraId="000000BE">
      <w:pPr>
        <w:widowControl w:val="0"/>
        <w:spacing w:after="0" w:line="276" w:lineRule="auto"/>
        <w:jc w:val="both"/>
        <w:rPr>
          <w:rFonts w:ascii="Times New Roman" w:hAnsi="Times New Roman" w:eastAsia="Times New Roman" w:cs="Times New Roman"/>
          <w:color w:val="222222"/>
          <w:highlight w:val="white"/>
        </w:rPr>
      </w:pPr>
    </w:p>
    <w:p w14:paraId="000000BF">
      <w:pPr>
        <w:widowControl w:val="0"/>
        <w:spacing w:after="0" w:line="276" w:lineRule="auto"/>
        <w:jc w:val="both"/>
        <w:rPr>
          <w:rFonts w:ascii="Times New Roman" w:hAnsi="Times New Roman" w:eastAsia="Times New Roman" w:cs="Times New Roman"/>
          <w:color w:val="222222"/>
          <w:highlight w:val="white"/>
        </w:rPr>
      </w:pPr>
    </w:p>
    <w:p w14:paraId="000000C0">
      <w:pPr>
        <w:widowControl w:val="0"/>
        <w:spacing w:after="0" w:line="276" w:lineRule="auto"/>
        <w:jc w:val="both"/>
        <w:rPr>
          <w:rFonts w:ascii="Times New Roman" w:hAnsi="Times New Roman" w:eastAsia="Times New Roman" w:cs="Times New Roman"/>
          <w:color w:val="222222"/>
          <w:highlight w:val="white"/>
        </w:rPr>
      </w:pPr>
    </w:p>
    <w:p w14:paraId="000000C1">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rPr>
        <w:drawing>
          <wp:inline distT="114300" distB="114300" distL="114300" distR="114300">
            <wp:extent cx="5730875" cy="68834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8"/>
                    <a:srcRect/>
                    <a:stretch>
                      <a:fillRect/>
                    </a:stretch>
                  </pic:blipFill>
                  <pic:spPr>
                    <a:xfrm>
                      <a:off x="0" y="0"/>
                      <a:ext cx="5731200" cy="6883400"/>
                    </a:xfrm>
                    <a:prstGeom prst="rect">
                      <a:avLst/>
                    </a:prstGeom>
                  </pic:spPr>
                </pic:pic>
              </a:graphicData>
            </a:graphic>
          </wp:inline>
        </w:drawing>
      </w:r>
      <w:r>
        <w:rPr>
          <w:rFonts w:ascii="Times New Roman" w:hAnsi="Times New Roman" w:eastAsia="Times New Roman" w:cs="Times New Roman"/>
          <w:b/>
          <w:sz w:val="20"/>
          <w:szCs w:val="20"/>
          <w:rtl w:val="0"/>
        </w:rPr>
        <w:t>Figure 1 | Associations between microbiomes from multiple body sites and plasma metabolome.</w:t>
      </w:r>
      <w:r>
        <w:rPr>
          <w:rFonts w:ascii="Times New Roman" w:hAnsi="Times New Roman" w:eastAsia="Times New Roman" w:cs="Times New Roman"/>
          <w:sz w:val="20"/>
          <w:szCs w:val="20"/>
          <w:rtl w:val="0"/>
        </w:rPr>
        <w:t xml:space="preserve"> </w:t>
      </w:r>
      <w:r>
        <w:rPr>
          <w:rFonts w:ascii="Times New Roman" w:hAnsi="Times New Roman" w:eastAsia="Times New Roman" w:cs="Times New Roman"/>
          <w:b/>
          <w:sz w:val="20"/>
          <w:szCs w:val="20"/>
          <w:rtl w:val="0"/>
        </w:rPr>
        <w:t>a,</w:t>
      </w:r>
      <w:r>
        <w:rPr>
          <w:rFonts w:ascii="Times New Roman" w:hAnsi="Times New Roman" w:eastAsia="Times New Roman" w:cs="Times New Roman"/>
          <w:sz w:val="20"/>
          <w:szCs w:val="20"/>
          <w:rtl w:val="0"/>
        </w:rPr>
        <w:t xml:space="preserve"> Study design showing three cohorts in the studies: the discovery cohort (n = 108) with samples from plasma metabolome and paired microbiome data from four body sites; validation cohort 1 (n = 200) with serum metabolome, stool and oral microbiome data; and validation cohort 2 (n = 127) with plasma metabolome and stool microbiome data.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xml:space="preserve"> Distribution of 814 metabolites by class in the discovery cohort, with bars colored by microbial source (microbiota-derived metabolites or not).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NMDS plot showing distinct clustering of microbial communities by body site (stress = 0.115), with skin and nasal microbiomes exhibiting greater similarity to each other than to oral and gut microbiomes.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Heatmap displaying the core microbiota based on different thresholds of relative abundance of genera across four body sites, showing site-specific microbial compositions.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Spearman correlation coefficients (rho) between 201 metabolites across seven metabolite classes and microbiome alpha diversity at four body sites. </w:t>
      </w:r>
      <w:r>
        <w:rPr>
          <w:rFonts w:ascii="Times New Roman" w:hAnsi="Times New Roman" w:eastAsia="Times New Roman" w:cs="Times New Roman"/>
          <w:b/>
          <w:sz w:val="20"/>
          <w:szCs w:val="20"/>
          <w:rtl w:val="0"/>
        </w:rPr>
        <w:t>f,</w:t>
      </w:r>
      <w:r>
        <w:rPr>
          <w:rFonts w:ascii="Times New Roman" w:hAnsi="Times New Roman" w:eastAsia="Times New Roman" w:cs="Times New Roman"/>
          <w:sz w:val="20"/>
          <w:szCs w:val="20"/>
          <w:rtl w:val="0"/>
        </w:rPr>
        <w:t xml:space="preserve"> Boxplot comparing absolute rho between microbiota-derived (n = 28) and non-microbiota-derived metabolites (n = 173) , showing significantly higher correlations for microbiota-derived metabolites (P &lt; 0.01).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Density plot of rho across four body sites, demonstrating significantly stronger absolute rho between metabolites and gut microbiome alpha diversity compared to other body sites. </w:t>
      </w:r>
      <w:r>
        <w:rPr>
          <w:rFonts w:ascii="Times New Roman" w:hAnsi="Times New Roman" w:eastAsia="Times New Roman" w:cs="Times New Roman"/>
          <w:b/>
          <w:sz w:val="20"/>
          <w:szCs w:val="20"/>
          <w:rtl w:val="0"/>
        </w:rPr>
        <w:t>h,</w:t>
      </w:r>
      <w:r>
        <w:rPr>
          <w:rFonts w:ascii="Times New Roman" w:hAnsi="Times New Roman" w:eastAsia="Times New Roman" w:cs="Times New Roman"/>
          <w:sz w:val="20"/>
          <w:szCs w:val="20"/>
          <w:rtl w:val="0"/>
        </w:rPr>
        <w:t xml:space="preserve"> Distribution of metabolite classes correlated with microbiome alpha diversity across four body sites.</w:t>
      </w:r>
    </w:p>
    <w:p w14:paraId="000000C2">
      <w:pPr>
        <w:jc w:val="both"/>
        <w:rPr>
          <w:rFonts w:ascii="Times New Roman" w:hAnsi="Times New Roman" w:eastAsia="Times New Roman" w:cs="Times New Roman"/>
          <w:b/>
        </w:rPr>
      </w:pPr>
    </w:p>
    <w:p w14:paraId="000000C3">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rPr>
        <w:drawing>
          <wp:inline distT="114300" distB="114300" distL="114300" distR="114300">
            <wp:extent cx="5730875" cy="50292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9"/>
                    <a:srcRect/>
                    <a:stretch>
                      <a:fillRect/>
                    </a:stretch>
                  </pic:blipFill>
                  <pic:spPr>
                    <a:xfrm>
                      <a:off x="0" y="0"/>
                      <a:ext cx="5731200" cy="5029200"/>
                    </a:xfrm>
                    <a:prstGeom prst="rect">
                      <a:avLst/>
                    </a:prstGeom>
                  </pic:spPr>
                </pic:pic>
              </a:graphicData>
            </a:graphic>
          </wp:inline>
        </w:drawing>
      </w:r>
      <w:r>
        <w:rPr>
          <w:rFonts w:ascii="Times New Roman" w:hAnsi="Times New Roman" w:eastAsia="Times New Roman" w:cs="Times New Roman"/>
          <w:b/>
          <w:sz w:val="20"/>
          <w:szCs w:val="20"/>
          <w:rtl w:val="0"/>
        </w:rPr>
        <w:t>Figure 2 | The gut microbiome exerts a stronger influence on the plasma metabolome compared to other body sites. a,</w:t>
      </w:r>
      <w:r>
        <w:rPr>
          <w:rFonts w:ascii="Times New Roman" w:hAnsi="Times New Roman" w:eastAsia="Times New Roman" w:cs="Times New Roman"/>
          <w:sz w:val="20"/>
          <w:szCs w:val="20"/>
          <w:rtl w:val="0"/>
        </w:rPr>
        <w:t xml:space="preserve"> Bar plot showing the proportion of variance of the plasma metabolome explained by microbiomes from different body sites. Both explained variances of total metabolites and microbiota-derived metabolites are shown.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PCA score plot of the plasma metabolome (n = 108). Genus-level gut microbes significantly associated with PC1 are labeled.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Spearman correlation analysis between plasma metabolites and microbial genera from four body sites. Each point represents a single plasma metabolite. The x-axis indicates the maximum rho with any microbial genus, while the y-axis represents the number of genera showing significant correlations with that metabolite. Microbiomes from each body site are represented in different quadrants: gut (top right), nasal (bottom right), skin (bottom left), and oral (top left).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Circular phylogenetic tree illustrating the correlations between individual microbial genera from all four body sites and the PC1 of the plasma metabolome. Outer colored heatmaps show the strength of correlations for gut, oral, skin, and nasal microbiomes. The outermost bar plot indicates the number of metabolites significantly associated with each genus. </w:t>
      </w:r>
      <w:r>
        <w:rPr>
          <w:rFonts w:ascii="Times New Roman" w:hAnsi="Times New Roman" w:eastAsia="Times New Roman" w:cs="Times New Roman"/>
          <w:b/>
          <w:sz w:val="20"/>
          <w:szCs w:val="20"/>
          <w:rtl w:val="0"/>
        </w:rPr>
        <w:t>e,f,</w:t>
      </w:r>
      <w:r>
        <w:rPr>
          <w:rFonts w:ascii="Times New Roman" w:hAnsi="Times New Roman" w:eastAsia="Times New Roman" w:cs="Times New Roman"/>
          <w:sz w:val="20"/>
          <w:szCs w:val="20"/>
          <w:rtl w:val="0"/>
        </w:rPr>
        <w:t xml:space="preserve"> Scatter plots showing strong and statistically significant correlations between the normalized abundance of two key gut genera, </w:t>
      </w:r>
      <w:r>
        <w:rPr>
          <w:rFonts w:ascii="Times New Roman" w:hAnsi="Times New Roman" w:eastAsia="Times New Roman" w:cs="Times New Roman"/>
          <w:i/>
          <w:sz w:val="20"/>
          <w:szCs w:val="20"/>
          <w:rtl w:val="0"/>
        </w:rPr>
        <w:t>Oscillibacter</w:t>
      </w:r>
      <w:r>
        <w:rPr>
          <w:rFonts w:ascii="Times New Roman" w:hAnsi="Times New Roman" w:eastAsia="Times New Roman" w:cs="Times New Roman"/>
          <w:sz w:val="20"/>
          <w:szCs w:val="20"/>
          <w:rtl w:val="0"/>
        </w:rPr>
        <w:t xml:space="preserve"> (rho = 0.71, P &lt; 0.001) and </w:t>
      </w:r>
      <w:r>
        <w:rPr>
          <w:rFonts w:ascii="Times New Roman" w:hAnsi="Times New Roman" w:eastAsia="Times New Roman" w:cs="Times New Roman"/>
          <w:i/>
          <w:sz w:val="20"/>
          <w:szCs w:val="20"/>
          <w:rtl w:val="0"/>
        </w:rPr>
        <w:t>Phocaeicola</w:t>
      </w:r>
      <w:r>
        <w:rPr>
          <w:rFonts w:ascii="Times New Roman" w:hAnsi="Times New Roman" w:eastAsia="Times New Roman" w:cs="Times New Roman"/>
          <w:sz w:val="20"/>
          <w:szCs w:val="20"/>
          <w:rtl w:val="0"/>
        </w:rPr>
        <w:t xml:space="preserve"> (rho = –0.57, P &lt; 0.001), and PC1 of the plasma metabolome.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Sub-correlation network illustrating associations between the gut microbial genera </w:t>
      </w:r>
      <w:r>
        <w:rPr>
          <w:rFonts w:ascii="Times New Roman" w:hAnsi="Times New Roman" w:eastAsia="Times New Roman" w:cs="Times New Roman"/>
          <w:i/>
          <w:sz w:val="20"/>
          <w:szCs w:val="20"/>
          <w:rtl w:val="0"/>
        </w:rPr>
        <w:t>Oscillibacter</w:t>
      </w:r>
      <w:r>
        <w:rPr>
          <w:rFonts w:ascii="Times New Roman" w:hAnsi="Times New Roman" w:eastAsia="Times New Roman" w:cs="Times New Roman"/>
          <w:sz w:val="20"/>
          <w:szCs w:val="20"/>
          <w:rtl w:val="0"/>
        </w:rPr>
        <w:t xml:space="preserve"> and </w:t>
      </w:r>
      <w:r>
        <w:rPr>
          <w:rFonts w:ascii="Times New Roman" w:hAnsi="Times New Roman" w:eastAsia="Times New Roman" w:cs="Times New Roman"/>
          <w:i/>
          <w:sz w:val="20"/>
          <w:szCs w:val="20"/>
          <w:rtl w:val="0"/>
        </w:rPr>
        <w:t>Phocaeicola</w:t>
      </w:r>
      <w:r>
        <w:rPr>
          <w:rFonts w:ascii="Times New Roman" w:hAnsi="Times New Roman" w:eastAsia="Times New Roman" w:cs="Times New Roman"/>
          <w:sz w:val="20"/>
          <w:szCs w:val="20"/>
          <w:rtl w:val="0"/>
        </w:rPr>
        <w:t xml:space="preserve"> and their significantly correlated plasma metabolites. Nodes represent either microbial genera (yellow circle) or plasma metabolites (red square); node size is proportional to the number of edges (degree). Edge color indicates correlation direction and strength (red: positive; blue: negative), and edge width corresponds to the –log10 P values of correlations.</w:t>
      </w:r>
    </w:p>
    <w:p w14:paraId="000000C4">
      <w:pPr>
        <w:spacing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5205095" cy="695198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0"/>
                    <a:srcRect/>
                    <a:stretch>
                      <a:fillRect/>
                    </a:stretch>
                  </pic:blipFill>
                  <pic:spPr>
                    <a:xfrm>
                      <a:off x="0" y="0"/>
                      <a:ext cx="5205413" cy="6952079"/>
                    </a:xfrm>
                    <a:prstGeom prst="rect">
                      <a:avLst/>
                    </a:prstGeom>
                  </pic:spPr>
                </pic:pic>
              </a:graphicData>
            </a:graphic>
          </wp:inline>
        </w:drawing>
      </w:r>
    </w:p>
    <w:p w14:paraId="000000C5">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3 | Microbiome from multiple body sites cooperatively influences the human plasma metabolome. a,</w:t>
      </w:r>
      <w:r>
        <w:rPr>
          <w:rFonts w:ascii="Times New Roman" w:hAnsi="Times New Roman" w:eastAsia="Times New Roman" w:cs="Times New Roman"/>
          <w:sz w:val="20"/>
          <w:szCs w:val="20"/>
          <w:rtl w:val="0"/>
        </w:rPr>
        <w:t xml:space="preserve"> Bar plot showing the proportion of variance in individual circulating metabolites explained by microbiomes from four body sites using the GBDT model (n = 380). </w:t>
      </w:r>
      <w:r>
        <w:rPr>
          <w:rFonts w:ascii="Times New Roman" w:hAnsi="Times New Roman" w:eastAsia="Times New Roman" w:cs="Times New Roman"/>
          <w:b/>
          <w:sz w:val="20"/>
          <w:szCs w:val="20"/>
          <w:rtl w:val="0"/>
        </w:rPr>
        <w:t>b,c,</w:t>
      </w:r>
      <w:r>
        <w:rPr>
          <w:rFonts w:ascii="Times New Roman" w:hAnsi="Times New Roman" w:eastAsia="Times New Roman" w:cs="Times New Roman"/>
          <w:sz w:val="20"/>
          <w:szCs w:val="20"/>
          <w:rtl w:val="0"/>
        </w:rPr>
        <w:t xml:space="preserve"> Scatter plots showing predicted </w:t>
      </w:r>
      <w:r>
        <w:rPr>
          <w:rFonts w:ascii="Times New Roman" w:hAnsi="Times New Roman" w:eastAsia="Times New Roman" w:cs="Times New Roman"/>
          <w:i/>
          <w:sz w:val="20"/>
          <w:szCs w:val="20"/>
          <w:rtl w:val="0"/>
        </w:rPr>
        <w:t>versus</w:t>
      </w:r>
      <w:r>
        <w:rPr>
          <w:rFonts w:ascii="Times New Roman" w:hAnsi="Times New Roman" w:eastAsia="Times New Roman" w:cs="Times New Roman"/>
          <w:sz w:val="20"/>
          <w:szCs w:val="20"/>
          <w:rtl w:val="0"/>
        </w:rPr>
        <w:t xml:space="preserve"> observed abundance of two representative gut-dominated metabolites, p-cresol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and PAGln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based on gut microbiome.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Bar plots showing the distribution of major metabolite classes influenced by microbiome from each body site.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Bipartite network displaying metabolic pathway enrichment results of metabolites influenced by microbiome from multiple body sites. </w:t>
      </w:r>
      <w:r>
        <w:rPr>
          <w:rFonts w:ascii="Times New Roman" w:hAnsi="Times New Roman" w:eastAsia="Times New Roman" w:cs="Times New Roman"/>
          <w:b/>
          <w:sz w:val="20"/>
          <w:szCs w:val="20"/>
          <w:rtl w:val="0"/>
        </w:rPr>
        <w:t>f,</w:t>
      </w:r>
      <w:r>
        <w:rPr>
          <w:rFonts w:ascii="Times New Roman" w:hAnsi="Times New Roman" w:eastAsia="Times New Roman" w:cs="Times New Roman"/>
          <w:sz w:val="20"/>
          <w:szCs w:val="20"/>
          <w:rtl w:val="0"/>
        </w:rPr>
        <w:t xml:space="preserve"> UpSet plot summarizing the number and overlap of metabolites explained (adjusted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&gt; 5%) by each body site microbiome. The largest shared influence was observed between gut and oral microbiomes, with 100 overlapping metabolites.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Venn diagram highlighting the overlapping metabolites jointly influenced by gut and oral microbiomes. </w:t>
      </w:r>
      <w:r>
        <w:rPr>
          <w:rFonts w:ascii="Times New Roman" w:hAnsi="Times New Roman" w:eastAsia="Times New Roman" w:cs="Times New Roman"/>
          <w:b/>
          <w:sz w:val="20"/>
          <w:szCs w:val="20"/>
          <w:rtl w:val="0"/>
        </w:rPr>
        <w:t>h,</w:t>
      </w:r>
      <w:r>
        <w:rPr>
          <w:rFonts w:ascii="Times New Roman" w:hAnsi="Times New Roman" w:eastAsia="Times New Roman" w:cs="Times New Roman"/>
          <w:sz w:val="20"/>
          <w:szCs w:val="20"/>
          <w:rtl w:val="0"/>
        </w:rPr>
        <w:t xml:space="preserve"> Scatter plot showing the distribution of metabolites jointly influenced by gut and oral microbiomes. </w:t>
      </w:r>
    </w:p>
    <w:p w14:paraId="000000C6">
      <w:pPr>
        <w:jc w:val="both"/>
        <w:rPr>
          <w:rFonts w:ascii="Times New Roman" w:hAnsi="Times New Roman" w:eastAsia="Times New Roman" w:cs="Times New Roman"/>
        </w:rPr>
      </w:pPr>
    </w:p>
    <w:p w14:paraId="000000C7">
      <w:pPr>
        <w:jc w:val="both"/>
        <w:rPr>
          <w:rFonts w:ascii="Times New Roman" w:hAnsi="Times New Roman" w:eastAsia="Times New Roman" w:cs="Times New Roman"/>
          <w:b/>
        </w:rPr>
      </w:pPr>
      <w:r>
        <w:rPr>
          <w:rFonts w:ascii="Times New Roman" w:hAnsi="Times New Roman" w:eastAsia="Times New Roman" w:cs="Times New Roman"/>
          <w:b/>
        </w:rPr>
        <w:drawing>
          <wp:inline distT="114300" distB="114300" distL="114300" distR="114300">
            <wp:extent cx="5730875" cy="5257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1"/>
                    <a:srcRect/>
                    <a:stretch>
                      <a:fillRect/>
                    </a:stretch>
                  </pic:blipFill>
                  <pic:spPr>
                    <a:xfrm>
                      <a:off x="0" y="0"/>
                      <a:ext cx="5731200" cy="5257800"/>
                    </a:xfrm>
                    <a:prstGeom prst="rect">
                      <a:avLst/>
                    </a:prstGeom>
                  </pic:spPr>
                </pic:pic>
              </a:graphicData>
            </a:graphic>
          </wp:inline>
        </w:drawing>
      </w:r>
    </w:p>
    <w:p w14:paraId="000000C8">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4 | Oral and gut microbiomes cooperate to influence systemic human metabolism through interactive effects. a,</w:t>
      </w:r>
      <w:r>
        <w:rPr>
          <w:rFonts w:ascii="Times New Roman" w:hAnsi="Times New Roman" w:eastAsia="Times New Roman" w:cs="Times New Roman"/>
          <w:sz w:val="20"/>
          <w:szCs w:val="20"/>
          <w:rtl w:val="0"/>
        </w:rPr>
        <w:t xml:space="preserve"> The top 30 metabolites with the highest variance explained by the gut and oral microbiomes. For each metabolite, the top panel shows the cumulative explained variance by the gut (green), oral (yellow), and the combined joint model (grey), which includes interaction terms between the oral and gut microbiomes. The bottom stacked bar plot illustrates the proportion of variance attributable to each component (gut-only, oral-only, and oral-gut interaction models) as estimated by the GBDT joint model.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Scatter plot (top) and histogram (bottom) showing that for 97% of metabolites (n = 100), the variance explained by the joint oral-gut model exceeds the sum of variances explained by oral-only and gut-only models.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Genera contributing significantly to the interaction terms between gut and oral microbiomes across circulating metabolites. Left: gut microbiome genera; right: oral microbiome genera. The bar lengths represent the number of metabolites for which each genus is involved in a significant interaction term.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Interaction plots for the co-regulation of L-Tryptophan by </w:t>
      </w:r>
      <w:r>
        <w:rPr>
          <w:rFonts w:ascii="Times New Roman" w:hAnsi="Times New Roman" w:eastAsia="Times New Roman" w:cs="Times New Roman"/>
          <w:i/>
          <w:sz w:val="20"/>
          <w:szCs w:val="20"/>
          <w:rtl w:val="0"/>
        </w:rPr>
        <w:t>Paraprevotella</w:t>
      </w:r>
      <w:r>
        <w:rPr>
          <w:rFonts w:ascii="Times New Roman" w:hAnsi="Times New Roman" w:eastAsia="Times New Roman" w:cs="Times New Roman"/>
          <w:sz w:val="20"/>
          <w:szCs w:val="20"/>
          <w:rtl w:val="0"/>
        </w:rPr>
        <w:t xml:space="preserve"> (gut) and </w:t>
      </w:r>
      <w:r>
        <w:rPr>
          <w:rFonts w:ascii="Times New Roman" w:hAnsi="Times New Roman" w:eastAsia="Times New Roman" w:cs="Times New Roman"/>
          <w:i/>
          <w:sz w:val="20"/>
          <w:szCs w:val="20"/>
          <w:rtl w:val="0"/>
        </w:rPr>
        <w:t>Enterococcus</w:t>
      </w:r>
      <w:r>
        <w:rPr>
          <w:rFonts w:ascii="Times New Roman" w:hAnsi="Times New Roman" w:eastAsia="Times New Roman" w:cs="Times New Roman"/>
          <w:sz w:val="20"/>
          <w:szCs w:val="20"/>
          <w:rtl w:val="0"/>
        </w:rPr>
        <w:t xml:space="preserve"> (oral). Samples are stratified into tertiles (Q1-Q3, n = 24;25;24) based on </w:t>
      </w:r>
      <w:r>
        <w:rPr>
          <w:rFonts w:ascii="Times New Roman" w:hAnsi="Times New Roman" w:eastAsia="Times New Roman" w:cs="Times New Roman"/>
          <w:i/>
          <w:sz w:val="20"/>
          <w:szCs w:val="20"/>
          <w:rtl w:val="0"/>
        </w:rPr>
        <w:t>Enterococcus</w:t>
      </w:r>
      <w:r>
        <w:rPr>
          <w:rFonts w:ascii="Times New Roman" w:hAnsi="Times New Roman" w:eastAsia="Times New Roman" w:cs="Times New Roman"/>
          <w:sz w:val="20"/>
          <w:szCs w:val="20"/>
          <w:rtl w:val="0"/>
        </w:rPr>
        <w:t xml:space="preserve"> abundance.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Similar interactive pattern observed for 5-Hydroxy-L-Tryptophan, another key tryptophan-derived metabolite. </w:t>
      </w:r>
    </w:p>
    <w:p w14:paraId="000000C9">
      <w:pPr>
        <w:jc w:val="both"/>
        <w:rPr>
          <w:rFonts w:ascii="Times New Roman" w:hAnsi="Times New Roman" w:eastAsia="Times New Roman" w:cs="Times New Roman"/>
          <w:highlight w:val="yellow"/>
        </w:rPr>
      </w:pPr>
    </w:p>
    <w:p w14:paraId="000000CA">
      <w:pPr>
        <w:jc w:val="both"/>
        <w:rPr>
          <w:rFonts w:ascii="Times New Roman" w:hAnsi="Times New Roman" w:eastAsia="Times New Roman" w:cs="Times New Roman"/>
          <w:b/>
        </w:rPr>
      </w:pPr>
      <w:r>
        <w:rPr>
          <w:rFonts w:ascii="Times New Roman" w:hAnsi="Times New Roman" w:eastAsia="Times New Roman" w:cs="Times New Roman"/>
          <w:b/>
        </w:rPr>
        <w:drawing>
          <wp:inline distT="114300" distB="114300" distL="114300" distR="114300">
            <wp:extent cx="5730875" cy="3911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5731200" cy="3911600"/>
                    </a:xfrm>
                    <a:prstGeom prst="rect">
                      <a:avLst/>
                    </a:prstGeom>
                  </pic:spPr>
                </pic:pic>
              </a:graphicData>
            </a:graphic>
          </wp:inline>
        </w:drawing>
      </w:r>
    </w:p>
    <w:p w14:paraId="000000CB">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5 | The oral-gut microbiome axis facilitates coordinated metabolism of circulating metabolites through directional mediation. a,</w:t>
      </w:r>
      <w:r>
        <w:rPr>
          <w:rFonts w:ascii="Times New Roman" w:hAnsi="Times New Roman" w:eastAsia="Times New Roman" w:cs="Times New Roman"/>
          <w:sz w:val="20"/>
          <w:szCs w:val="20"/>
          <w:rtl w:val="0"/>
        </w:rPr>
        <w:t xml:space="preserve"> Sankey diagram illustrating significant mediation effects identified in the discovery cohort. Edges connect taxa from the oral microbiome (left, green) to gut microbial genera (middle, yellow) and ultimately to plasma metabolites (right, pink), reflecting the oral-gut-metabolite mediation pathway.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xml:space="preserve"> Bar plots summarizing the number of significant mediation pathways identified in each direction, gut-oral-metabolite and oral-gut-metabolite, across the discovery cohort (left) and validation cohort 1 (right). </w:t>
      </w:r>
      <w:r>
        <w:rPr>
          <w:rFonts w:ascii="Times New Roman" w:hAnsi="Times New Roman" w:eastAsia="Times New Roman" w:cs="Times New Roman"/>
          <w:b/>
          <w:sz w:val="20"/>
          <w:szCs w:val="20"/>
          <w:rtl w:val="0"/>
        </w:rPr>
        <w:t>c-f,</w:t>
      </w:r>
      <w:r>
        <w:rPr>
          <w:rFonts w:ascii="Times New Roman" w:hAnsi="Times New Roman" w:eastAsia="Times New Roman" w:cs="Times New Roman"/>
          <w:sz w:val="20"/>
          <w:szCs w:val="20"/>
          <w:rtl w:val="0"/>
        </w:rPr>
        <w:t xml:space="preserve"> Circular mediation diagrams showing specific examples of oral-gut microbial cooperation in influencing plasma metabolites.</w:t>
      </w:r>
    </w:p>
    <w:p w14:paraId="000000CC">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5730875" cy="3771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3"/>
                    <a:srcRect/>
                    <a:stretch>
                      <a:fillRect/>
                    </a:stretch>
                  </pic:blipFill>
                  <pic:spPr>
                    <a:xfrm>
                      <a:off x="0" y="0"/>
                      <a:ext cx="5731200" cy="3771900"/>
                    </a:xfrm>
                    <a:prstGeom prst="rect">
                      <a:avLst/>
                    </a:prstGeom>
                  </pic:spPr>
                </pic:pic>
              </a:graphicData>
            </a:graphic>
          </wp:inline>
        </w:drawing>
      </w:r>
    </w:p>
    <w:p w14:paraId="000000CD">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6 |</w:t>
      </w:r>
      <w:r>
        <w:rPr>
          <w:rFonts w:ascii="Times New Roman" w:hAnsi="Times New Roman" w:eastAsia="Times New Roman" w:cs="Times New Roman"/>
          <w:sz w:val="20"/>
          <w:szCs w:val="20"/>
          <w:rtl w:val="0"/>
        </w:rPr>
        <w:t xml:space="preserve"> </w:t>
      </w:r>
      <w:r>
        <w:rPr>
          <w:rFonts w:ascii="Times New Roman" w:hAnsi="Times New Roman" w:eastAsia="Times New Roman" w:cs="Times New Roman"/>
          <w:b/>
          <w:sz w:val="20"/>
          <w:szCs w:val="20"/>
          <w:rtl w:val="0"/>
        </w:rPr>
        <w:t>Enhanced oral-gut microbiome-metabolome axis activity in IR individuals. a,</w:t>
      </w:r>
      <w:r>
        <w:rPr>
          <w:rFonts w:ascii="Times New Roman" w:hAnsi="Times New Roman" w:eastAsia="Times New Roman" w:cs="Times New Roman"/>
          <w:sz w:val="20"/>
          <w:szCs w:val="20"/>
          <w:rtl w:val="0"/>
        </w:rPr>
        <w:t xml:space="preserve"> NMDS ordination plot showing paired Bray-Curtis distances between oral and gut microbial communities (stress = 0.056). Points represent individual samples colored by insulin sensitivity status and shaped by body site. Box plot comparing the paired Oral-Gut Samples Bray-Curtis distances between the IS (n = 21)and IR groups (n = 31).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Box plot comparing the number of selected interaction features between the IS and IR groups identified by the GBDT model.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Bar chart quantifying the number of significant mediation pathways where oral microbiome influences circulating metabolites through gut microbiota as intermediary mediators in IS and IR groups.</w:t>
      </w:r>
      <w:r>
        <w:rPr>
          <w:rFonts w:ascii="Times New Roman" w:hAnsi="Times New Roman" w:eastAsia="Times New Roman" w:cs="Times New Roman"/>
          <w:b/>
          <w:sz w:val="20"/>
          <w:szCs w:val="20"/>
          <w:rtl w:val="0"/>
        </w:rPr>
        <w:t xml:space="preserve"> d,</w:t>
      </w:r>
      <w:r>
        <w:rPr>
          <w:rFonts w:ascii="Times New Roman" w:hAnsi="Times New Roman" w:eastAsia="Times New Roman" w:cs="Times New Roman"/>
          <w:sz w:val="20"/>
          <w:szCs w:val="20"/>
          <w:rtl w:val="0"/>
        </w:rPr>
        <w:t xml:space="preserve"> Volcano plot displaying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differences between IS and IR groups for individual circulating metabolites. Red points indicate metabolites with significant differences (adjusted P &lt; 0.05 and absolute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 &gt; 0.1).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Bar chart showing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differences for key metabolites with the largest intergroup variations. Orange bars represent metabolites with higher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values in the IR group; blue bars indicate higher values in the IS group. </w:t>
      </w:r>
      <w:r>
        <w:rPr>
          <w:rFonts w:ascii="Times New Roman" w:hAnsi="Times New Roman" w:eastAsia="Times New Roman" w:cs="Times New Roman"/>
          <w:b/>
          <w:sz w:val="20"/>
          <w:szCs w:val="20"/>
          <w:rtl w:val="0"/>
        </w:rPr>
        <w:t xml:space="preserve">f, </w:t>
      </w:r>
      <w:r>
        <w:rPr>
          <w:rFonts w:ascii="Times New Roman" w:hAnsi="Times New Roman" w:eastAsia="Times New Roman" w:cs="Times New Roman"/>
          <w:sz w:val="20"/>
          <w:szCs w:val="20"/>
          <w:rtl w:val="0"/>
        </w:rPr>
        <w:t xml:space="preserve">Pathway enrichment analysis heatmap displaying metabolic pathways significantly altered in IR individuals. </w:t>
      </w:r>
    </w:p>
    <w:p w14:paraId="000000CE">
      <w:pPr>
        <w:spacing w:line="240" w:lineRule="auto"/>
        <w:jc w:val="both"/>
        <w:rPr>
          <w:rFonts w:ascii="Times New Roman" w:hAnsi="Times New Roman" w:eastAsia="Times New Roman" w:cs="Times New Roman"/>
          <w:sz w:val="20"/>
          <w:szCs w:val="20"/>
        </w:rPr>
      </w:pPr>
    </w:p>
    <w:p w14:paraId="000000CF">
      <w:pPr>
        <w:spacing w:line="240" w:lineRule="auto"/>
        <w:jc w:val="both"/>
        <w:rPr>
          <w:rFonts w:ascii="Times New Roman" w:hAnsi="Times New Roman" w:eastAsia="Times New Roman" w:cs="Times New Roman"/>
          <w:sz w:val="20"/>
          <w:szCs w:val="20"/>
        </w:rPr>
      </w:pPr>
    </w:p>
    <w:p w14:paraId="000000D0">
      <w:pPr>
        <w:spacing w:line="240" w:lineRule="auto"/>
        <w:jc w:val="both"/>
        <w:rPr>
          <w:rFonts w:ascii="Times New Roman" w:hAnsi="Times New Roman" w:eastAsia="Times New Roman" w:cs="Times New Roman"/>
          <w:sz w:val="20"/>
          <w:szCs w:val="20"/>
        </w:rPr>
      </w:pPr>
    </w:p>
    <w:p w14:paraId="000000D1">
      <w:pPr>
        <w:spacing w:line="240" w:lineRule="auto"/>
        <w:jc w:val="both"/>
        <w:rPr>
          <w:rFonts w:ascii="Times New Roman" w:hAnsi="Times New Roman" w:eastAsia="Times New Roman" w:cs="Times New Roman"/>
          <w:sz w:val="20"/>
          <w:szCs w:val="20"/>
        </w:rPr>
      </w:pPr>
    </w:p>
    <w:p w14:paraId="000000D2">
      <w:pPr>
        <w:spacing w:line="240" w:lineRule="auto"/>
        <w:jc w:val="both"/>
        <w:rPr>
          <w:rFonts w:ascii="Times New Roman" w:hAnsi="Times New Roman" w:eastAsia="Times New Roman" w:cs="Times New Roman"/>
          <w:sz w:val="20"/>
          <w:szCs w:val="20"/>
        </w:rPr>
      </w:pPr>
    </w:p>
    <w:p w14:paraId="000000D3">
      <w:pPr>
        <w:spacing w:line="240" w:lineRule="auto"/>
        <w:jc w:val="both"/>
        <w:rPr>
          <w:rFonts w:ascii="Times New Roman" w:hAnsi="Times New Roman" w:eastAsia="Times New Roman" w:cs="Times New Roman"/>
          <w:sz w:val="20"/>
          <w:szCs w:val="20"/>
        </w:rPr>
      </w:pPr>
    </w:p>
    <w:p w14:paraId="000000D4">
      <w:pPr>
        <w:spacing w:line="240" w:lineRule="auto"/>
        <w:jc w:val="both"/>
        <w:rPr>
          <w:rFonts w:ascii="Times New Roman" w:hAnsi="Times New Roman" w:eastAsia="Times New Roman" w:cs="Times New Roman"/>
          <w:sz w:val="20"/>
          <w:szCs w:val="20"/>
        </w:rPr>
      </w:pPr>
    </w:p>
    <w:p w14:paraId="000000D5">
      <w:pPr>
        <w:spacing w:line="240" w:lineRule="auto"/>
        <w:jc w:val="both"/>
        <w:rPr>
          <w:rFonts w:ascii="Times New Roman" w:hAnsi="Times New Roman" w:eastAsia="Times New Roman" w:cs="Times New Roman"/>
          <w:sz w:val="20"/>
          <w:szCs w:val="20"/>
        </w:rPr>
      </w:pPr>
    </w:p>
    <w:p w14:paraId="000000D6">
      <w:pPr>
        <w:spacing w:line="240" w:lineRule="auto"/>
        <w:jc w:val="both"/>
        <w:rPr>
          <w:rFonts w:ascii="Times New Roman" w:hAnsi="Times New Roman" w:eastAsia="Times New Roman" w:cs="Times New Roman"/>
          <w:sz w:val="20"/>
          <w:szCs w:val="20"/>
        </w:rPr>
      </w:pPr>
    </w:p>
    <w:p w14:paraId="000000D7">
      <w:pPr>
        <w:spacing w:line="240" w:lineRule="auto"/>
        <w:jc w:val="both"/>
        <w:rPr>
          <w:rFonts w:ascii="Times New Roman" w:hAnsi="Times New Roman" w:eastAsia="Times New Roman" w:cs="Times New Roman"/>
          <w:sz w:val="20"/>
          <w:szCs w:val="20"/>
        </w:rPr>
      </w:pPr>
    </w:p>
    <w:p w14:paraId="000000D8">
      <w:pPr>
        <w:spacing w:line="240" w:lineRule="auto"/>
        <w:jc w:val="both"/>
        <w:rPr>
          <w:rFonts w:ascii="Times New Roman" w:hAnsi="Times New Roman" w:eastAsia="Times New Roman" w:cs="Times New Roman"/>
          <w:sz w:val="20"/>
          <w:szCs w:val="20"/>
        </w:rPr>
      </w:pPr>
    </w:p>
    <w:p w14:paraId="000000D9">
      <w:pPr>
        <w:spacing w:line="240" w:lineRule="auto"/>
        <w:jc w:val="both"/>
        <w:rPr>
          <w:rFonts w:ascii="Times New Roman" w:hAnsi="Times New Roman" w:eastAsia="Times New Roman" w:cs="Times New Roman"/>
          <w:sz w:val="20"/>
          <w:szCs w:val="20"/>
        </w:rPr>
      </w:pPr>
    </w:p>
    <w:p w14:paraId="000000DA">
      <w:pPr>
        <w:spacing w:line="240" w:lineRule="auto"/>
        <w:jc w:val="both"/>
        <w:rPr>
          <w:rFonts w:ascii="Times New Roman" w:hAnsi="Times New Roman" w:eastAsia="Times New Roman" w:cs="Times New Roman"/>
          <w:sz w:val="20"/>
          <w:szCs w:val="20"/>
        </w:rPr>
      </w:pPr>
    </w:p>
    <w:p w14:paraId="000000DB">
      <w:pPr>
        <w:spacing w:line="240" w:lineRule="auto"/>
        <w:jc w:val="both"/>
        <w:rPr>
          <w:rFonts w:ascii="Times New Roman" w:hAnsi="Times New Roman" w:eastAsia="Times New Roman" w:cs="Times New Roman"/>
          <w:sz w:val="20"/>
          <w:szCs w:val="20"/>
        </w:rPr>
      </w:pPr>
    </w:p>
    <w:p w14:paraId="000000DC">
      <w:pPr>
        <w:spacing w:line="240" w:lineRule="auto"/>
        <w:jc w:val="both"/>
        <w:rPr>
          <w:rFonts w:ascii="Times New Roman" w:hAnsi="Times New Roman" w:eastAsia="Times New Roman" w:cs="Times New Roman"/>
          <w:sz w:val="20"/>
          <w:szCs w:val="20"/>
        </w:rPr>
      </w:pPr>
    </w:p>
    <w:p w14:paraId="000000DD">
      <w:pPr>
        <w:spacing w:line="240" w:lineRule="auto"/>
        <w:jc w:val="both"/>
        <w:rPr>
          <w:rFonts w:ascii="Times New Roman" w:hAnsi="Times New Roman" w:eastAsia="Times New Roman" w:cs="Times New Roman"/>
          <w:sz w:val="20"/>
          <w:szCs w:val="20"/>
        </w:rPr>
      </w:pPr>
    </w:p>
    <w:p w14:paraId="000000DE">
      <w:pPr>
        <w:spacing w:line="240" w:lineRule="auto"/>
        <w:jc w:val="both"/>
        <w:rPr>
          <w:rFonts w:ascii="Times New Roman" w:hAnsi="Times New Roman" w:eastAsia="Times New Roman" w:cs="Times New Roman"/>
          <w:sz w:val="20"/>
          <w:szCs w:val="20"/>
        </w:rPr>
      </w:pPr>
    </w:p>
    <w:p w14:paraId="000000DF">
      <w:pPr>
        <w:spacing w:line="240" w:lineRule="auto"/>
        <w:jc w:val="both"/>
        <w:rPr>
          <w:rFonts w:ascii="Times New Roman" w:hAnsi="Times New Roman" w:eastAsia="Times New Roman" w:cs="Times New Roman"/>
          <w:sz w:val="20"/>
          <w:szCs w:val="20"/>
        </w:rPr>
      </w:pPr>
    </w:p>
    <w:p w14:paraId="000000E0">
      <w:pPr>
        <w:spacing w:line="240" w:lineRule="auto"/>
        <w:jc w:val="both"/>
        <w:rPr>
          <w:rFonts w:ascii="Times New Roman" w:hAnsi="Times New Roman" w:eastAsia="Times New Roman" w:cs="Times New Roman"/>
          <w:sz w:val="20"/>
          <w:szCs w:val="20"/>
        </w:rPr>
      </w:pPr>
    </w:p>
    <w:p w14:paraId="000000E1">
      <w:pPr>
        <w:spacing w:line="240" w:lineRule="auto"/>
        <w:jc w:val="both"/>
        <w:rPr>
          <w:rFonts w:ascii="Times New Roman" w:hAnsi="Times New Roman" w:eastAsia="Times New Roman" w:cs="Times New Roman"/>
          <w:sz w:val="20"/>
          <w:szCs w:val="20"/>
        </w:rPr>
      </w:pPr>
    </w:p>
    <w:p w14:paraId="000000E2">
      <w:pPr>
        <w:spacing w:line="240" w:lineRule="auto"/>
        <w:jc w:val="both"/>
        <w:rPr>
          <w:rFonts w:ascii="Times New Roman" w:hAnsi="Times New Roman" w:eastAsia="Times New Roman" w:cs="Times New Roman"/>
          <w:sz w:val="20"/>
          <w:szCs w:val="20"/>
        </w:rPr>
      </w:pPr>
    </w:p>
    <w:p w14:paraId="000000E3">
      <w:pPr>
        <w:widowControl w:val="0"/>
        <w:spacing w:after="0" w:line="276" w:lineRule="auto"/>
        <w:jc w:val="both"/>
        <w:rPr>
          <w:rFonts w:ascii="Times New Roman" w:hAnsi="Times New Roman" w:eastAsia="Times New Roman" w:cs="Times New Roman"/>
          <w:color w:val="222222"/>
          <w:highlight w:val="white"/>
        </w:rPr>
      </w:pPr>
    </w:p>
    <w:p w14:paraId="000000E4">
      <w:pPr>
        <w:widowControl w:val="0"/>
        <w:spacing w:after="0" w:line="276" w:lineRule="auto"/>
        <w:jc w:val="both"/>
        <w:rPr>
          <w:rFonts w:ascii="Times New Roman" w:hAnsi="Times New Roman" w:eastAsia="Times New Roman" w:cs="Times New Roman"/>
          <w:b/>
          <w:color w:val="222222"/>
          <w:highlight w:val="white"/>
        </w:rPr>
      </w:pPr>
      <w:r>
        <w:rPr>
          <w:rFonts w:ascii="Times New Roman" w:hAnsi="Times New Roman" w:eastAsia="Times New Roman" w:cs="Times New Roman"/>
          <w:b/>
          <w:color w:val="222222"/>
          <w:highlight w:val="white"/>
          <w:rtl w:val="0"/>
        </w:rPr>
        <w:t>Reference</w:t>
      </w:r>
    </w:p>
    <w:p w14:paraId="000000E5">
      <w:pPr>
        <w:spacing w:after="0" w:line="276" w:lineRule="auto"/>
        <w:jc w:val="both"/>
        <w:rPr>
          <w:rFonts w:ascii="Times New Roman" w:hAnsi="Times New Roman" w:eastAsia="Times New Roman" w:cs="Times New Roman"/>
          <w:b/>
        </w:rPr>
      </w:pPr>
    </w:p>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Integrative HMP (iHMP) Research Network Consortium. The Integrative Human Microbiome Project.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569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641–648 (2019).</w:t>
      </w:r>
      <w:r>
        <w:rPr>
          <w:rFonts w:hint="default" w:ascii="Times New Roman Regular" w:hAnsi="Times New Roman Regular" w:cs="Times New Roman Regular"/>
          <w:shd w:val="clear" w:fill="auto"/>
          <w:vertAlign w:val="baseline"/>
          <w:rtl w:val="0"/>
        </w:rPr>
        <w:fldChar w:fldCharType="end"/>
      </w: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Hou, K.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 in health and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Signal Transduct. Target. Ther.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135 (2022).</w:t>
      </w:r>
      <w:r>
        <w:rPr>
          <w:rFonts w:hint="default" w:ascii="Times New Roman Regular" w:hAnsi="Times New Roman Regular" w:cs="Times New Roman Regular"/>
          <w:shd w:val="clear" w:fill="auto"/>
          <w:vertAlign w:val="baseline"/>
          <w:rtl w:val="0"/>
        </w:rPr>
        <w:fldChar w:fldCharType="end"/>
      </w:r>
    </w:p>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Visconti, 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Interplay between the human gut microbiome and host metabolism.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4505 (2019).</w:t>
      </w:r>
      <w:r>
        <w:rPr>
          <w:rFonts w:hint="default" w:ascii="Times New Roman Regular" w:hAnsi="Times New Roman Regular" w:cs="Times New Roman Regular"/>
          <w:shd w:val="clear" w:fill="auto"/>
          <w:vertAlign w:val="baseline"/>
          <w:rtl w:val="0"/>
        </w:rPr>
        <w:fldChar w:fldCharType="end"/>
      </w: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Boulangé, C. L., Neves, A. L., Chilloux, J., Nicholson, J. K. &amp; Dumas, M.-E. Impact of the gut microbiota on inflammation, obesity, and metabolic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Genome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42 (2016).</w:t>
      </w:r>
      <w:r>
        <w:rPr>
          <w:rFonts w:hint="default" w:ascii="Times New Roman Regular" w:hAnsi="Times New Roman Regular" w:cs="Times New Roman Regular"/>
          <w:shd w:val="clear" w:fill="auto"/>
          <w:vertAlign w:val="baseline"/>
          <w:rtl w:val="0"/>
        </w:rPr>
        <w:fldChar w:fldCharType="end"/>
      </w: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Zhai, 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microbiota-derived tryptamine and phenethylamine impair insulin sensitivity in metabolic syndrome and irritable bowel syndrome.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4986 (2023).</w:t>
      </w:r>
      <w:r>
        <w:rPr>
          <w:rFonts w:hint="default" w:ascii="Times New Roman Regular" w:hAnsi="Times New Roman Regular" w:cs="Times New Roman Regular"/>
          <w:shd w:val="clear" w:fill="auto"/>
          <w:vertAlign w:val="baseline"/>
          <w:rtl w:val="0"/>
        </w:rPr>
        <w:fldChar w:fldCharType="end"/>
      </w: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Takeuchi, 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microbial carbohydrate metabolism contributes to insulin resistance.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621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389–395 (2023).</w:t>
      </w:r>
      <w:r>
        <w:rPr>
          <w:rFonts w:hint="default" w:ascii="Times New Roman Regular" w:hAnsi="Times New Roman Regular" w:cs="Times New Roman Regular"/>
          <w:shd w:val="clear" w:fill="auto"/>
          <w:vertAlign w:val="baseline"/>
          <w:rtl w:val="0"/>
        </w:rPr>
        <w:fldChar w:fldCharType="end"/>
      </w:r>
    </w:p>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Dekkers, K. F.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An online atlas of human plasma metabolite signatures of gut microbiome composition.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5370 (2022).</w:t>
      </w:r>
      <w:r>
        <w:rPr>
          <w:rFonts w:hint="default" w:ascii="Times New Roman Regular" w:hAnsi="Times New Roman Regular" w:cs="Times New Roman Regular"/>
          <w:shd w:val="clear" w:fill="auto"/>
          <w:vertAlign w:val="baseline"/>
          <w:rtl w:val="0"/>
        </w:rPr>
        <w:fldChar w:fldCharType="end"/>
      </w: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Chen, 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Influence of the microbiome, diet and genetics on inter-individual variation in the human plasma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2333–2343 (2022).</w:t>
      </w:r>
      <w:r>
        <w:rPr>
          <w:rFonts w:hint="default" w:ascii="Times New Roman Regular" w:hAnsi="Times New Roman Regular" w:cs="Times New Roman Regular"/>
          <w:shd w:val="clear" w:fill="auto"/>
          <w:vertAlign w:val="baseline"/>
          <w:rtl w:val="0"/>
        </w:rPr>
        <w:fldChar w:fldCharType="end"/>
      </w: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Thangaleela, S., Sivamaruthi, B. S., Kesika, P., Bharathi, M. &amp; Chaiyasut, C. Nasal Microbiota, Olfactory Health, Neurological Disorders and Aging-A Review.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Microorganisms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1405 (2022).</w:t>
      </w:r>
      <w:r>
        <w:rPr>
          <w:rFonts w:hint="default" w:ascii="Times New Roman Regular" w:hAnsi="Times New Roman Regular" w:cs="Times New Roman Regular"/>
          <w:shd w:val="clear" w:fill="auto"/>
          <w:vertAlign w:val="baseline"/>
          <w:rtl w:val="0"/>
        </w:rPr>
        <w:fldChar w:fldCharType="end"/>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Lee, H.-J. &amp; Kim, M. Skin Barrier Function and the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Mol.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13071 (2022).</w:t>
      </w:r>
      <w:r>
        <w:rPr>
          <w:rFonts w:hint="default" w:ascii="Times New Roman Regular" w:hAnsi="Times New Roman Regular" w:cs="Times New Roman Regular"/>
          <w:shd w:val="clear" w:fill="auto"/>
          <w:vertAlign w:val="baseline"/>
          <w:rtl w:val="0"/>
        </w:rPr>
        <w:fldChar w:fldCharType="end"/>
      </w: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Baker, J. L., Mark Welch, J. L., Kauffman, K. M., McLean, J. S. &amp; He, X. The oral microbiome: diversity, biogeography and human health.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89–104 (2024).</w:t>
      </w:r>
      <w:r>
        <w:rPr>
          <w:rFonts w:hint="default" w:ascii="Times New Roman Regular" w:hAnsi="Times New Roman Regular" w:cs="Times New Roman Regular"/>
          <w:shd w:val="clear" w:fill="auto"/>
          <w:vertAlign w:val="baseline"/>
          <w:rtl w:val="0"/>
        </w:rPr>
        <w:fldChar w:fldCharType="end"/>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 microbiota and cardiometabolic health: A comprehensive review and emerging insights.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Immunol.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1010368 (2022).</w:t>
      </w:r>
      <w:r>
        <w:rPr>
          <w:rFonts w:hint="default" w:ascii="Times New Roman Regular" w:hAnsi="Times New Roman Regular" w:cs="Times New Roman Regular"/>
          <w:shd w:val="clear" w:fill="auto"/>
          <w:vertAlign w:val="baseline"/>
          <w:rtl w:val="0"/>
        </w:rPr>
        <w:fldChar w:fldCharType="end"/>
      </w:r>
    </w:p>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 microbiota and respiratory diseases: advances and perspectives.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Clin. Microbiol. Rev.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e0015024 (2025).</w:t>
      </w:r>
      <w:r>
        <w:rPr>
          <w:rFonts w:hint="default" w:ascii="Times New Roman Regular" w:hAnsi="Times New Roman Regular" w:cs="Times New Roman Regular"/>
          <w:shd w:val="clear" w:fill="auto"/>
          <w:vertAlign w:val="baseline"/>
          <w:rtl w:val="0"/>
        </w:rPr>
        <w:fldChar w:fldCharType="end"/>
      </w:r>
    </w:p>
    <w:p w14:paraId="00000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Grice, E. A. &amp; Segre, J. A. The skin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244–253 (2011).</w:t>
      </w:r>
      <w:r>
        <w:rPr>
          <w:rFonts w:hint="default" w:ascii="Times New Roman Regular" w:hAnsi="Times New Roman Regular" w:cs="Times New Roman Regular"/>
          <w:shd w:val="clear" w:fill="auto"/>
          <w:vertAlign w:val="baseline"/>
          <w:rtl w:val="0"/>
        </w:rPr>
        <w:fldChar w:fldCharType="end"/>
      </w:r>
    </w:p>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Dang, A. T. &amp; Marsland, B. J. Microbes, metabolites, and the gut-lung axis.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Mucosal Immunol.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843–850 (2019).</w:t>
      </w:r>
      <w:r>
        <w:rPr>
          <w:rFonts w:hint="default" w:ascii="Times New Roman Regular" w:hAnsi="Times New Roman Regular" w:cs="Times New Roman Regular"/>
          <w:shd w:val="clear" w:fill="auto"/>
          <w:vertAlign w:val="baseline"/>
          <w:rtl w:val="0"/>
        </w:rPr>
        <w:fldChar w:fldCharType="end"/>
      </w:r>
    </w:p>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Kunath, B. J., De Rudder, C., Laczny, C. C., Letellier, E. &amp; Wilmes, P. The oral-gut microbiome axis in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791–805 (2024).</w:t>
      </w:r>
      <w:r>
        <w:rPr>
          <w:rFonts w:hint="default" w:ascii="Times New Roman Regular" w:hAnsi="Times New Roman Regular" w:cs="Times New Roman Regular"/>
          <w:shd w:val="clear" w:fill="auto"/>
          <w:vertAlign w:val="baseline"/>
          <w:rtl w:val="0"/>
        </w:rPr>
        <w:fldChar w:fldCharType="end"/>
      </w:r>
    </w:p>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Xu, Q.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oral-gut microbiota axis: a link in cardiometabolic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 (2025).</w:t>
      </w:r>
      <w:r>
        <w:rPr>
          <w:rFonts w:hint="default" w:ascii="Times New Roman Regular" w:hAnsi="Times New Roman Regular" w:cs="Times New Roman Regular"/>
          <w:shd w:val="clear" w:fill="auto"/>
          <w:vertAlign w:val="baseline"/>
          <w:rtl w:val="0"/>
        </w:rPr>
        <w:fldChar w:fldCharType="end"/>
      </w:r>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Barbour, A., Elebyary, O., Fine, N., Oveisi, M. &amp; Glogauer, M. Metabolites of the oral microbiome: important mediators of multikingdom interactions.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FEMS Microbiol. Rev.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fuab039 (2022).</w:t>
      </w:r>
      <w:r>
        <w:rPr>
          <w:rFonts w:hint="default" w:ascii="Times New Roman Regular" w:hAnsi="Times New Roman Regular" w:cs="Times New Roman Regular"/>
          <w:shd w:val="clear" w:fill="auto"/>
          <w:vertAlign w:val="baseline"/>
          <w:rtl w:val="0"/>
        </w:rPr>
        <w:fldChar w:fldCharType="end"/>
      </w:r>
    </w:p>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Malan-Müller,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Probing the oral-brain connection: oral microbiome patterns in a large community cohort with anxiety, depression, and trauma symptoms, and periodontal outcomes.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Transl. Psychiatry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419 (2024).</w:t>
      </w:r>
      <w:r>
        <w:rPr>
          <w:rFonts w:hint="default" w:ascii="Times New Roman Regular" w:hAnsi="Times New Roman Regular" w:cs="Times New Roman Regular"/>
          <w:shd w:val="clear" w:fill="auto"/>
          <w:vertAlign w:val="baseline"/>
          <w:rtl w:val="0"/>
        </w:rPr>
        <w:fldChar w:fldCharType="end"/>
      </w:r>
    </w:p>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Liao,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 bacteria relative abundance in faeces increases due to gut microbiota depletion and is linked with patient outcomes.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1555–1565 (2024).</w:t>
      </w:r>
      <w:r>
        <w:rPr>
          <w:rFonts w:hint="default" w:ascii="Times New Roman Regular" w:hAnsi="Times New Roman Regular" w:cs="Times New Roman Regular"/>
          <w:shd w:val="clear" w:fill="auto"/>
          <w:vertAlign w:val="baseline"/>
          <w:rtl w:val="0"/>
        </w:rPr>
        <w:fldChar w:fldCharType="end"/>
      </w: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Bao,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Periodontitis may induce gut microbiota dysbiosis via salivary microbiota.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Oral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32 (2022).</w:t>
      </w:r>
      <w:r>
        <w:rPr>
          <w:rFonts w:hint="default" w:ascii="Times New Roman Regular" w:hAnsi="Times New Roman Regular" w:cs="Times New Roman Regular"/>
          <w:shd w:val="clear" w:fill="auto"/>
          <w:vertAlign w:val="baseline"/>
          <w:rtl w:val="0"/>
        </w:rPr>
        <w:fldChar w:fldCharType="end"/>
      </w:r>
    </w:p>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Nonlinear dynamics of multi-omics profiles during human aging.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Aging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1619–1634 (2024).</w:t>
      </w:r>
      <w:r>
        <w:rPr>
          <w:rFonts w:hint="default" w:ascii="Times New Roman Regular" w:hAnsi="Times New Roman Regular" w:cs="Times New Roman Regular"/>
          <w:shd w:val="clear" w:fill="auto"/>
          <w:vertAlign w:val="baseline"/>
          <w:rtl w:val="0"/>
        </w:rPr>
        <w:fldChar w:fldCharType="end"/>
      </w:r>
    </w:p>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multi-omics of host-microbe dynamics in prediabetes.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569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663–671 (2019).</w:t>
      </w:r>
      <w:r>
        <w:rPr>
          <w:rFonts w:hint="default" w:ascii="Times New Roman Regular" w:hAnsi="Times New Roman Regular" w:cs="Times New Roman Regular"/>
          <w:shd w:val="clear" w:fill="auto"/>
          <w:vertAlign w:val="baseline"/>
          <w:rtl w:val="0"/>
        </w:rPr>
        <w:fldChar w:fldCharType="end"/>
      </w:r>
    </w:p>
    <w:p w14:paraId="000000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profiling of the microbiome at four body sites reveals core stability and individualized dynamics during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Host Microbe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506-526.e9 (2024).</w:t>
      </w:r>
      <w:r>
        <w:rPr>
          <w:rFonts w:hint="default" w:ascii="Times New Roman Regular" w:hAnsi="Times New Roman Regular" w:cs="Times New Roman Regular"/>
          <w:shd w:val="clear" w:fill="auto"/>
          <w:vertAlign w:val="baseline"/>
          <w:rtl w:val="0"/>
        </w:rPr>
        <w:fldChar w:fldCharType="end"/>
      </w:r>
    </w:p>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Shoer,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Impact of dietary interventions on pre-diabetic oral and gut microbiome, metabolites and cytokines.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5384 (2023).</w:t>
      </w:r>
      <w:r>
        <w:rPr>
          <w:rFonts w:hint="default" w:ascii="Times New Roman Regular" w:hAnsi="Times New Roman Regular" w:cs="Times New Roman Regular"/>
          <w:shd w:val="clear" w:fill="auto"/>
          <w:vertAlign w:val="baseline"/>
          <w:rtl w:val="0"/>
        </w:rPr>
        <w:fldChar w:fldCharType="end"/>
      </w:r>
    </w:p>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legume-enriched diet improves metabolic health in prediabetes mediated through gut microbiome: a randomized controlled trial.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942 (2025).</w:t>
      </w:r>
      <w:r>
        <w:rPr>
          <w:rFonts w:hint="default" w:ascii="Times New Roman Regular" w:hAnsi="Times New Roman Regular" w:cs="Times New Roman Regular"/>
          <w:shd w:val="clear" w:fill="auto"/>
          <w:vertAlign w:val="baseline"/>
          <w:rtl w:val="0"/>
        </w:rPr>
        <w:fldChar w:fldCharType="end"/>
      </w:r>
    </w:p>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Krautkramer, K. A., Fan, J. &amp; Bäckhed, F. Gut microbial metabolites as multi-kingdom intermediates.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77–94 (2021).</w:t>
      </w:r>
      <w:r>
        <w:rPr>
          <w:rFonts w:hint="default" w:ascii="Times New Roman Regular" w:hAnsi="Times New Roman Regular" w:cs="Times New Roman Regular"/>
          <w:shd w:val="clear" w:fill="auto"/>
          <w:vertAlign w:val="baseline"/>
          <w:rtl w:val="0"/>
        </w:rPr>
        <w:fldChar w:fldCharType="end"/>
      </w:r>
    </w:p>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Agus, A., Clément, K. &amp; Sokol, H. Gut microbiota-derived metabolites as central regulators in metabolic disorders.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Gut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1174–1182 (2021).</w:t>
      </w:r>
      <w:r>
        <w:rPr>
          <w:rFonts w:hint="default" w:ascii="Times New Roman Regular" w:hAnsi="Times New Roman Regular" w:cs="Times New Roman Regular"/>
          <w:shd w:val="clear" w:fill="auto"/>
          <w:vertAlign w:val="baseline"/>
          <w:rtl w:val="0"/>
        </w:rPr>
        <w:fldChar w:fldCharType="end"/>
      </w:r>
    </w:p>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Chu, D.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Maturation of the infant microbiome community structure and function across multiple body sites and in relation to mode of delivery.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314–326 (2017).</w:t>
      </w:r>
      <w:r>
        <w:rPr>
          <w:rFonts w:hint="default" w:ascii="Times New Roman Regular" w:hAnsi="Times New Roman Regular" w:cs="Times New Roman Regular"/>
          <w:shd w:val="clear" w:fill="auto"/>
          <w:vertAlign w:val="baseline"/>
          <w:rtl w:val="0"/>
        </w:rPr>
        <w:fldChar w:fldCharType="end"/>
      </w:r>
    </w:p>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Baede, V. O.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Nasal microbiome disruption and recovery after mupirocin treatment in Staphylococcus aureus carriers and noncarriers.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Sci. Rep.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19738 (2022).</w:t>
      </w:r>
      <w:r>
        <w:rPr>
          <w:rFonts w:hint="default" w:ascii="Times New Roman Regular" w:hAnsi="Times New Roman Regular" w:cs="Times New Roman Regular"/>
          <w:shd w:val="clear" w:fill="auto"/>
          <w:vertAlign w:val="baseline"/>
          <w:rtl w:val="0"/>
        </w:rPr>
        <w:fldChar w:fldCharType="end"/>
      </w:r>
    </w:p>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Seo, J.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study of the interplay between the skin barrier and facial microbiome over 1 year.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1298632 (2023).</w:t>
      </w:r>
      <w:r>
        <w:rPr>
          <w:rFonts w:hint="default" w:ascii="Times New Roman Regular" w:hAnsi="Times New Roman Regular" w:cs="Times New Roman Regular"/>
          <w:shd w:val="clear" w:fill="auto"/>
          <w:vertAlign w:val="baseline"/>
          <w:rtl w:val="0"/>
        </w:rPr>
        <w:fldChar w:fldCharType="end"/>
      </w:r>
    </w:p>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Qu, Q.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Population-level gut microbiome and its associations with environmental factors and metabolic disorders in Southwest China.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 (2025).</w:t>
      </w:r>
      <w:r>
        <w:rPr>
          <w:rFonts w:hint="default" w:ascii="Times New Roman Regular" w:hAnsi="Times New Roman Regular" w:cs="Times New Roman Regular"/>
          <w:shd w:val="clear" w:fill="auto"/>
          <w:vertAlign w:val="baseline"/>
          <w:rtl w:val="0"/>
        </w:rPr>
        <w:fldChar w:fldCharType="end"/>
      </w:r>
    </w:p>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Sun, 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population-scale analysis of 36 gut microbiome studies reveals universal species signatures for common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96 (2024).</w:t>
      </w:r>
      <w:r>
        <w:rPr>
          <w:rFonts w:hint="default" w:ascii="Times New Roman Regular" w:hAnsi="Times New Roman Regular" w:cs="Times New Roman Regular"/>
          <w:shd w:val="clear" w:fill="auto"/>
          <w:vertAlign w:val="baseline"/>
          <w:rtl w:val="0"/>
        </w:rPr>
        <w:fldChar w:fldCharType="end"/>
      </w:r>
    </w:p>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Hammad, M. I., Conrads, G. &amp; Abdelbary, M. M. H. Isolation, identification, and significance of salivary Veillonella spp., Prevotella spp., and Prevotella salivae in patients with inflammatory bowel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Cell. Infect.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1278582 (2023).</w:t>
      </w:r>
      <w:r>
        <w:rPr>
          <w:rFonts w:hint="default" w:ascii="Times New Roman Regular" w:hAnsi="Times New Roman Regular" w:cs="Times New Roman Regular"/>
          <w:shd w:val="clear" w:fill="auto"/>
          <w:vertAlign w:val="baseline"/>
          <w:rtl w:val="0"/>
        </w:rPr>
        <w:fldChar w:fldCharType="end"/>
      </w:r>
    </w:p>
    <w:p w14:paraId="000001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Caselli, 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Defining the oral microbiome by whole-genome sequencing and resistome analysis: the complexity of the healthy picture.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BMC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120 (2020).</w:t>
      </w:r>
      <w:r>
        <w:rPr>
          <w:rFonts w:hint="default" w:ascii="Times New Roman Regular" w:hAnsi="Times New Roman Regular" w:cs="Times New Roman Regular"/>
          <w:shd w:val="clear" w:fill="auto"/>
          <w:vertAlign w:val="baseline"/>
          <w:rtl w:val="0"/>
        </w:rPr>
        <w:fldChar w:fldCharType="end"/>
      </w:r>
    </w:p>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Könönen, E. &amp; Gursoy, U. K. Oral Prevotella Species and Their Connection to Events of Clinical Relevance in Gastrointestinal and Respiratory Tracts.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798763 (2021).</w:t>
      </w:r>
      <w:r>
        <w:rPr>
          <w:rFonts w:hint="default" w:ascii="Times New Roman Regular" w:hAnsi="Times New Roman Regular" w:cs="Times New Roman Regular"/>
          <w:shd w:val="clear" w:fill="auto"/>
          <w:vertAlign w:val="baseline"/>
          <w:rtl w:val="0"/>
        </w:rPr>
        <w:fldChar w:fldCharType="end"/>
      </w:r>
    </w:p>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Human Microbiome Project Consortium. Structure, function and diversity of the healthy human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486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207–214 (2012).</w:t>
      </w:r>
      <w:r>
        <w:rPr>
          <w:rFonts w:hint="default" w:ascii="Times New Roman Regular" w:hAnsi="Times New Roman Regular" w:cs="Times New Roman Regular"/>
          <w:shd w:val="clear" w:fill="auto"/>
          <w:vertAlign w:val="baseline"/>
          <w:rtl w:val="0"/>
        </w:rPr>
        <w:fldChar w:fldCharType="end"/>
      </w:r>
    </w:p>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Wilmanski, 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Blood metabolome predicts gut microbiome α-diversity in humans.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Biotechnol.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1217–1228 (2019).</w:t>
      </w:r>
      <w:r>
        <w:rPr>
          <w:rFonts w:hint="default" w:ascii="Times New Roman Regular" w:hAnsi="Times New Roman Regular" w:cs="Times New Roman Regular"/>
          <w:shd w:val="clear" w:fill="auto"/>
          <w:vertAlign w:val="baseline"/>
          <w:rtl w:val="0"/>
        </w:rPr>
        <w:fldChar w:fldCharType="end"/>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Zhu,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Two distinct gut microbial pathways contribute to meta-organismal production of phenylacetylglutamine with links to cardiovascular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Host Microbe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18-32.e9 (2023).</w:t>
      </w:r>
      <w:r>
        <w:rPr>
          <w:rFonts w:hint="default" w:ascii="Times New Roman Regular" w:hAnsi="Times New Roman Regular" w:cs="Times New Roman Regular"/>
          <w:shd w:val="clear" w:fill="auto"/>
          <w:vertAlign w:val="baseline"/>
          <w:rtl w:val="0"/>
        </w:rPr>
        <w:fldChar w:fldCharType="end"/>
      </w:r>
    </w:p>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van Duynhoven,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Metabolic fate of polyphenols in the human superorganism.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Proc. Natl. Acad. Sci. U. S. A.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108 Suppl 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4531–4538 (2011).</w:t>
      </w:r>
      <w:r>
        <w:rPr>
          <w:rFonts w:hint="default" w:ascii="Times New Roman Regular" w:hAnsi="Times New Roman Regular" w:cs="Times New Roman Regular"/>
          <w:shd w:val="clear" w:fill="auto"/>
          <w:vertAlign w:val="baseline"/>
          <w:rtl w:val="0"/>
        </w:rPr>
        <w:fldChar w:fldCharType="end"/>
      </w:r>
    </w:p>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Pascal Andreu, V.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gutSMASH predicts specialized primary metabolic pathways from the human gut microbiota.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Biotechnol.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1416–1423 (2023).</w:t>
      </w:r>
      <w:r>
        <w:rPr>
          <w:rFonts w:hint="default" w:ascii="Times New Roman Regular" w:hAnsi="Times New Roman Regular" w:cs="Times New Roman Regular"/>
          <w:shd w:val="clear" w:fill="auto"/>
          <w:vertAlign w:val="baseline"/>
          <w:rtl w:val="0"/>
        </w:rPr>
        <w:fldChar w:fldCharType="end"/>
      </w:r>
    </w:p>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P.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microbiota-derived 4-hydroxyphenylacetic acid from resveratrol supplementation prevents obesity through SIRT1 signaling activation.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Gut Microbes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2446391 (2025).</w:t>
      </w:r>
      <w:r>
        <w:rPr>
          <w:rFonts w:hint="default" w:ascii="Times New Roman Regular" w:hAnsi="Times New Roman Regular" w:cs="Times New Roman Regular"/>
          <w:shd w:val="clear" w:fill="auto"/>
          <w:vertAlign w:val="baseline"/>
          <w:rtl w:val="0"/>
        </w:rPr>
        <w:fldChar w:fldCharType="end"/>
      </w:r>
    </w:p>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Malard, L. A. &amp; Guisan, A. Into the microbial niche.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Ecol. Evol.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936–945 (2023).</w:t>
      </w:r>
      <w:r>
        <w:rPr>
          <w:rFonts w:hint="default" w:ascii="Times New Roman Regular" w:hAnsi="Times New Roman Regular" w:cs="Times New Roman Regular"/>
          <w:shd w:val="clear" w:fill="auto"/>
          <w:vertAlign w:val="baseline"/>
          <w:rtl w:val="0"/>
        </w:rPr>
        <w:fldChar w:fldCharType="end"/>
      </w:r>
    </w:p>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 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reference map of potential determinants for the human serum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588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135–140 (2020).</w:t>
      </w:r>
      <w:r>
        <w:rPr>
          <w:rFonts w:hint="default" w:ascii="Times New Roman Regular" w:hAnsi="Times New Roman Regular" w:cs="Times New Roman Regular"/>
          <w:shd w:val="clear" w:fill="auto"/>
          <w:vertAlign w:val="baseline"/>
          <w:rtl w:val="0"/>
        </w:rPr>
        <w:fldChar w:fldCharType="end"/>
      </w:r>
    </w:p>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Dodd, D.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gut bacterial pathway metabolizes aromatic amino acids into nine circulating metabolites.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551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648–652 (2017).</w:t>
      </w:r>
      <w:r>
        <w:rPr>
          <w:rFonts w:hint="default" w:ascii="Times New Roman Regular" w:hAnsi="Times New Roman Regular" w:cs="Times New Roman Regular"/>
          <w:shd w:val="clear" w:fill="auto"/>
          <w:vertAlign w:val="baseline"/>
          <w:rtl w:val="0"/>
        </w:rPr>
        <w:fldChar w:fldCharType="end"/>
      </w:r>
    </w:p>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Thaiss, C. A., Zmora, N., Levy, M. &amp; Elinav, E. The microbiome and innate immunity.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535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65–74 (2016).</w:t>
      </w:r>
      <w:r>
        <w:rPr>
          <w:rFonts w:hint="default" w:ascii="Times New Roman Regular" w:hAnsi="Times New Roman Regular" w:cs="Times New Roman Regular"/>
          <w:shd w:val="clear" w:fill="auto"/>
          <w:vertAlign w:val="baseline"/>
          <w:rtl w:val="0"/>
        </w:rPr>
        <w:fldChar w:fldCharType="end"/>
      </w:r>
    </w:p>
    <w:p w14:paraId="00000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Schirmer,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Linking the Human Gut Microbiome to Inflammatory Cytokine Production Capacity.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167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1125-1136.e8 (2016).</w:t>
      </w:r>
      <w:r>
        <w:rPr>
          <w:rFonts w:hint="default" w:ascii="Times New Roman Regular" w:hAnsi="Times New Roman Regular" w:cs="Times New Roman Regular"/>
          <w:shd w:val="clear" w:fill="auto"/>
          <w:vertAlign w:val="baseline"/>
          <w:rtl w:val="0"/>
        </w:rPr>
        <w:fldChar w:fldCharType="end"/>
      </w:r>
    </w:p>
    <w:p w14:paraId="00000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microbiome and metabolome profiling in Framingham heart study reveals cholesterol-metabolizing bacteria.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187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1834-1852.e19 (2024).</w:t>
      </w:r>
      <w:r>
        <w:rPr>
          <w:rFonts w:hint="default" w:ascii="Times New Roman Regular" w:hAnsi="Times New Roman Regular" w:cs="Times New Roman Regular"/>
          <w:shd w:val="clear" w:fill="auto"/>
          <w:vertAlign w:val="baseline"/>
          <w:rtl w:val="0"/>
        </w:rPr>
        <w:fldChar w:fldCharType="end"/>
      </w:r>
    </w:p>
    <w:p w14:paraId="000001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Diener,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Genome-microbiome interplay provides insight into the determinants of the human blood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Metab.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1560–1572 (2022).</w:t>
      </w:r>
      <w:r>
        <w:rPr>
          <w:rFonts w:hint="default" w:ascii="Times New Roman Regular" w:hAnsi="Times New Roman Regular" w:cs="Times New Roman Regular"/>
          <w:shd w:val="clear" w:fill="auto"/>
          <w:vertAlign w:val="baseline"/>
          <w:rtl w:val="0"/>
        </w:rPr>
        <w:fldChar w:fldCharType="end"/>
      </w:r>
    </w:p>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microbiome and serum metabolome alterations in obesity and after weight-loss intervention.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859–868 (2017).</w:t>
      </w:r>
      <w:r>
        <w:rPr>
          <w:rFonts w:hint="default" w:ascii="Times New Roman Regular" w:hAnsi="Times New Roman Regular" w:cs="Times New Roman Regular"/>
          <w:shd w:val="clear" w:fill="auto"/>
          <w:vertAlign w:val="baseline"/>
          <w:rtl w:val="0"/>
        </w:rPr>
        <w:fldChar w:fldCharType="end"/>
      </w:r>
    </w:p>
    <w:p w14:paraId="00000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Codipilly, D. &amp; Kleinberg, I. Generation of indole/skatole during malodor formation in the salivary sediment model system and initial examination of the oral bacteria involved.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J. Breath Res.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017017 (2008).</w:t>
      </w:r>
      <w:r>
        <w:rPr>
          <w:rFonts w:hint="default" w:ascii="Times New Roman Regular" w:hAnsi="Times New Roman Regular" w:cs="Times New Roman Regular"/>
          <w:shd w:val="clear" w:fill="auto"/>
          <w:vertAlign w:val="baseline"/>
          <w:rtl w:val="0"/>
        </w:rPr>
        <w:fldChar w:fldCharType="end"/>
      </w:r>
    </w:p>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Roager, H. M. &amp; Licht, T. R. Microbial tryptophan catabolites in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3294 (2018).</w:t>
      </w:r>
      <w:r>
        <w:rPr>
          <w:rFonts w:hint="default" w:ascii="Times New Roman Regular" w:hAnsi="Times New Roman Regular" w:cs="Times New Roman Regular"/>
          <w:shd w:val="clear" w:fill="auto"/>
          <w:vertAlign w:val="baseline"/>
          <w:rtl w:val="0"/>
        </w:rPr>
        <w:fldChar w:fldCharType="end"/>
      </w:r>
    </w:p>
    <w:p w14:paraId="000001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Microbiota-derived indoles alleviate intestinal inflammation and modulate microbiome by microbial cross-feeding.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Microbiome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59 (2024).</w:t>
      </w:r>
      <w:r>
        <w:rPr>
          <w:rFonts w:hint="default" w:ascii="Times New Roman Regular" w:hAnsi="Times New Roman Regular" w:cs="Times New Roman Regular"/>
          <w:shd w:val="clear" w:fill="auto"/>
          <w:vertAlign w:val="baseline"/>
          <w:rtl w:val="0"/>
        </w:rPr>
        <w:fldChar w:fldCharType="end"/>
      </w:r>
    </w:p>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Wu, H.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Microbiome-metabolome dynamics associated with impaired glucose control and responses to lifestyle changes.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Nat. Med.</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(2025) doi:10.1038/s41591-025-03642-6.</w:t>
      </w:r>
      <w:r>
        <w:rPr>
          <w:rFonts w:hint="default" w:ascii="Times New Roman Regular" w:hAnsi="Times New Roman Regular" w:cs="Times New Roman Regular"/>
          <w:shd w:val="clear" w:fill="auto"/>
          <w:vertAlign w:val="baseline"/>
          <w:rtl w:val="0"/>
        </w:rPr>
        <w:fldChar w:fldCharType="end"/>
      </w:r>
    </w:p>
    <w:p w14:paraId="000001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Y., Hou, Y., Wang, G., Zheng, X. &amp; Hao, H. Gut Microbial Metabolites of Aromatic Amino Acids as Signals in Host-Microbe Interplay.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Endocrinol. Metab. TEM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818–834 (2020).</w:t>
      </w:r>
      <w:r>
        <w:rPr>
          <w:rFonts w:hint="default" w:ascii="Times New Roman Regular" w:hAnsi="Times New Roman Regular" w:cs="Times New Roman Regular"/>
          <w:shd w:val="clear" w:fill="auto"/>
          <w:vertAlign w:val="baseline"/>
          <w:rtl w:val="0"/>
        </w:rPr>
        <w:fldChar w:fldCharType="end"/>
      </w:r>
    </w:p>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Jiang, Z.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Human gut microbial aromatic amino acid and related metabolites prevent obesity through intestinal immune control.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Metab.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808–822 (2025).</w:t>
      </w:r>
      <w:r>
        <w:rPr>
          <w:rFonts w:hint="default" w:ascii="Times New Roman Regular" w:hAnsi="Times New Roman Regular" w:cs="Times New Roman Regular"/>
          <w:shd w:val="clear" w:fill="auto"/>
          <w:vertAlign w:val="baseline"/>
          <w:rtl w:val="0"/>
        </w:rPr>
        <w:fldChar w:fldCharType="end"/>
      </w:r>
    </w:p>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Ding,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Regulation of tryptophan-indole metabolic pathway in Porphyromonas gingivalis virulence and microbiota dysbiosis in periodontitis.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37 (2025).</w:t>
      </w:r>
      <w:r>
        <w:rPr>
          <w:rFonts w:hint="default" w:ascii="Times New Roman Regular" w:hAnsi="Times New Roman Regular" w:cs="Times New Roman Regular"/>
          <w:shd w:val="clear" w:fill="auto"/>
          <w:vertAlign w:val="baseline"/>
          <w:rtl w:val="0"/>
        </w:rPr>
        <w:fldChar w:fldCharType="end"/>
      </w:r>
    </w:p>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Gao, K., Mu, C.-L., Farzi, A. &amp; Zhu, W.-Y. Tryptophan Metabolism: A Link Between the Gut Microbiota and Brain.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Adv. Nutr. Bethesda Md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709–723 (2020).</w:t>
      </w:r>
      <w:r>
        <w:rPr>
          <w:rFonts w:hint="default" w:ascii="Times New Roman Regular" w:hAnsi="Times New Roman Regular" w:cs="Times New Roman Regular"/>
          <w:shd w:val="clear" w:fill="auto"/>
          <w:vertAlign w:val="baseline"/>
          <w:rtl w:val="0"/>
        </w:rPr>
        <w:fldChar w:fldCharType="end"/>
      </w:r>
    </w:p>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Pacheco-Yanes, J., Reynolds, E., Li, J. &amp; Mariño, E. Microbiome-targeted interventions for the control of oral-gut dysbiosis and chronic systemic inflammation.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Mol.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912–925 (2023).</w:t>
      </w:r>
      <w:r>
        <w:rPr>
          <w:rFonts w:hint="default" w:ascii="Times New Roman Regular" w:hAnsi="Times New Roman Regular" w:cs="Times New Roman Regular"/>
          <w:shd w:val="clear" w:fill="auto"/>
          <w:vertAlign w:val="baseline"/>
          <w:rtl w:val="0"/>
        </w:rPr>
        <w:fldChar w:fldCharType="end"/>
      </w:r>
    </w:p>
    <w:p w14:paraId="00000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Yang, Z., Du, C., Chang, Z., Yang, Y. &amp; Hu, L. Role of oral and gut microbiomes in enterosalivary nitrate metabolism and their effects on systemic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Cell. Infect.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1612223 (2025).</w:t>
      </w:r>
      <w:r>
        <w:rPr>
          <w:rFonts w:hint="default" w:ascii="Times New Roman Regular" w:hAnsi="Times New Roman Regular" w:cs="Times New Roman Regular"/>
          <w:shd w:val="clear" w:fill="auto"/>
          <w:vertAlign w:val="baseline"/>
          <w:rtl w:val="0"/>
        </w:rPr>
        <w:fldChar w:fldCharType="end"/>
      </w:r>
    </w:p>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Leonov, G. E., Varaeva, Y. R., Livantsova, E. N. &amp; Starodubova, A. V. The Complicated Relationship of Short-Chain Fatty Acids and Oral Microbiome: A Narrative Review.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Biomedicines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2749 (2023).</w:t>
      </w:r>
      <w:r>
        <w:rPr>
          <w:rFonts w:hint="default" w:ascii="Times New Roman Regular" w:hAnsi="Times New Roman Regular" w:cs="Times New Roman Regular"/>
          <w:shd w:val="clear" w:fill="auto"/>
          <w:vertAlign w:val="baseline"/>
          <w:rtl w:val="0"/>
        </w:rPr>
        <w:fldChar w:fldCharType="end"/>
      </w:r>
    </w:p>
    <w:p w14:paraId="00000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Brown,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Microbiota-mediated skewing of tryptophan catabolism modulates CD4+ T cells in lupus-prone mice.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iScience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104241 (2022).</w:t>
      </w:r>
      <w:r>
        <w:rPr>
          <w:rFonts w:hint="default" w:ascii="Times New Roman Regular" w:hAnsi="Times New Roman Regular" w:cs="Times New Roman Regular"/>
          <w:shd w:val="clear" w:fill="auto"/>
          <w:vertAlign w:val="baseline"/>
          <w:rtl w:val="0"/>
        </w:rPr>
        <w:fldChar w:fldCharType="end"/>
      </w:r>
    </w:p>
    <w:p w14:paraId="000001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Kaur, H., Bose, C. &amp; Mande, S. S. Tryptophan Metabolism by Gut Microbiome and Gut-Brain-Axis: An in silico Analysis.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Neurosci.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1365 (2019).</w:t>
      </w:r>
      <w:r>
        <w:rPr>
          <w:rFonts w:hint="default" w:ascii="Times New Roman Regular" w:hAnsi="Times New Roman Regular" w:cs="Times New Roman Regular"/>
          <w:shd w:val="clear" w:fill="auto"/>
          <w:vertAlign w:val="baseline"/>
          <w:rtl w:val="0"/>
        </w:rPr>
        <w:fldChar w:fldCharType="end"/>
      </w: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Kilian,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 microbiome - an update for oral healthcare professionals.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Br. Dent. J.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657–666 (2016).</w:t>
      </w:r>
      <w:r>
        <w:rPr>
          <w:rFonts w:hint="default" w:ascii="Times New Roman Regular" w:hAnsi="Times New Roman Regular" w:cs="Times New Roman Regular"/>
          <w:shd w:val="clear" w:fill="auto"/>
          <w:vertAlign w:val="baseline"/>
          <w:rtl w:val="0"/>
        </w:rPr>
        <w:fldChar w:fldCharType="end"/>
      </w: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Guo, X.-J.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Distribution characteristics of oral microbiota and its relationship with intestinal microbiota in patients with type 2 diabetes mellitus.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Endocrinol.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1119201 (2023).</w:t>
      </w:r>
      <w:r>
        <w:rPr>
          <w:rFonts w:hint="default" w:ascii="Times New Roman Regular" w:hAnsi="Times New Roman Regular" w:cs="Times New Roman Regular"/>
          <w:shd w:val="clear" w:fill="auto"/>
          <w:vertAlign w:val="baseline"/>
          <w:rtl w:val="0"/>
        </w:rPr>
        <w:fldChar w:fldCharType="end"/>
      </w:r>
    </w:p>
    <w:p w14:paraId="000001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Oral-gut microbial transmission promotes diabetic coronary heart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Cardiovasc. Diabetol.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123 (2024).</w:t>
      </w:r>
      <w:r>
        <w:rPr>
          <w:rFonts w:hint="default" w:ascii="Times New Roman Regular" w:hAnsi="Times New Roman Regular" w:cs="Times New Roman Regular"/>
          <w:shd w:val="clear" w:fill="auto"/>
          <w:vertAlign w:val="baseline"/>
          <w:rtl w:val="0"/>
        </w:rPr>
        <w:fldChar w:fldCharType="end"/>
      </w:r>
    </w:p>
    <w:p w14:paraId="000001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Barutta, F., Bellini, S., Durazzo, M. &amp; Gruden, G. Novel Insight into the Mechanisms of the Bidirectional Relationship between Diabetes and Periodontitis.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Biomedicines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178 (2022).</w:t>
      </w:r>
      <w:r>
        <w:rPr>
          <w:rFonts w:hint="default" w:ascii="Times New Roman Regular" w:hAnsi="Times New Roman Regular" w:cs="Times New Roman Regular"/>
          <w:shd w:val="clear" w:fill="auto"/>
          <w:vertAlign w:val="baseline"/>
          <w:rtl w:val="0"/>
        </w:rPr>
        <w:fldChar w:fldCharType="end"/>
      </w:r>
    </w:p>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Mei, Z.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Strain-specific gut microbial signatures in type 2 diabetes identified in a cross-cohort analysis of 8,117 metagenomes.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2265–2276 (2024).</w:t>
      </w:r>
      <w:r>
        <w:rPr>
          <w:rFonts w:hint="default" w:ascii="Times New Roman Regular" w:hAnsi="Times New Roman Regular" w:cs="Times New Roman Regular"/>
          <w:shd w:val="clear" w:fill="auto"/>
          <w:vertAlign w:val="baseline"/>
          <w:rtl w:val="0"/>
        </w:rPr>
        <w:fldChar w:fldCharType="end"/>
      </w:r>
    </w:p>
    <w:p w14:paraId="00000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Zakaria, N. F., Hamid, M. &amp; Khayat, M. E. Amino Acid-Induced Impairment of Insulin Signaling and Involvement of G-Protein Coupling Receptor.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Nutrients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2229 (2021).</w:t>
      </w:r>
      <w:r>
        <w:rPr>
          <w:rFonts w:hint="default" w:ascii="Times New Roman Regular" w:hAnsi="Times New Roman Regular" w:cs="Times New Roman Regular"/>
          <w:shd w:val="clear" w:fill="auto"/>
          <w:vertAlign w:val="baseline"/>
          <w:rtl w:val="0"/>
        </w:rPr>
        <w:fldChar w:fldCharType="end"/>
      </w:r>
    </w:p>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Histidine-derived carbon dots for redox modulation and gut microbiota regulation in inflammatory bowel disease therapy.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Chem. Eng. J.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499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156389 (2024).</w:t>
      </w:r>
      <w:r>
        <w:rPr>
          <w:rFonts w:hint="default" w:ascii="Times New Roman Regular" w:hAnsi="Times New Roman Regular" w:cs="Times New Roman Regular"/>
          <w:shd w:val="clear" w:fill="auto"/>
          <w:vertAlign w:val="baseline"/>
          <w:rtl w:val="0"/>
        </w:rPr>
        <w:fldChar w:fldCharType="end"/>
      </w:r>
    </w:p>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Hirasawa, N. Expression of Histidine Decarboxylase and Its Roles in Inflammation.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Mol.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376 (2019).</w:t>
      </w:r>
      <w:r>
        <w:rPr>
          <w:rFonts w:hint="default" w:ascii="Times New Roman Regular" w:hAnsi="Times New Roman Regular" w:cs="Times New Roman Regular"/>
          <w:shd w:val="clear" w:fill="auto"/>
          <w:vertAlign w:val="baseline"/>
          <w:rtl w:val="0"/>
        </w:rPr>
        <w:fldChar w:fldCharType="end"/>
      </w:r>
    </w:p>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Mendelian randomization analyses support causal relationships between blood metabolites and the gut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Genet.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52–61 (2022).</w:t>
      </w:r>
      <w:r>
        <w:rPr>
          <w:rFonts w:hint="default" w:ascii="Times New Roman Regular" w:hAnsi="Times New Roman Regular" w:cs="Times New Roman Regular"/>
          <w:shd w:val="clear" w:fill="auto"/>
          <w:vertAlign w:val="baseline"/>
          <w:rtl w:val="0"/>
        </w:rPr>
        <w:fldChar w:fldCharType="end"/>
      </w:r>
    </w:p>
    <w:p w14:paraId="00000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role of the indoles in microbiota-gut-brain axis and potential therapeutic targets: A focus on human neurological and neuropsychiatric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Neuropharmacology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109690 (2023).</w:t>
      </w:r>
      <w:r>
        <w:rPr>
          <w:rFonts w:hint="default" w:ascii="Times New Roman Regular" w:hAnsi="Times New Roman Regular" w:cs="Times New Roman Regular"/>
          <w:shd w:val="clear" w:fill="auto"/>
          <w:vertAlign w:val="baseline"/>
          <w:rtl w:val="0"/>
        </w:rPr>
        <w:fldChar w:fldCharType="end"/>
      </w:r>
    </w:p>
    <w:p w14:paraId="000001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Korac, B., Kalezic, A., Pekovic-Vaughan, V., Korac, A. &amp; Jankovic, A. Redox changes in obesity, metabolic syndrome, and diabetes.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Redox 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101887 (2021).</w:t>
      </w:r>
      <w:r>
        <w:rPr>
          <w:rFonts w:hint="default" w:ascii="Times New Roman Regular" w:hAnsi="Times New Roman Regular" w:cs="Times New Roman Regular"/>
          <w:shd w:val="clear" w:fill="auto"/>
          <w:vertAlign w:val="baseline"/>
          <w:rtl w:val="0"/>
        </w:rPr>
        <w:fldChar w:fldCharType="end"/>
      </w:r>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Teeuw, W. J., Gerdes, V. E. A. &amp; Loos, B. G. Effect of periodontal treatment on glycemic control of diabetic patients: a systematic review and meta-analysis.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Diabetes Care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421–427 (2010).</w:t>
      </w:r>
      <w:r>
        <w:rPr>
          <w:rFonts w:hint="default" w:ascii="Times New Roman Regular" w:hAnsi="Times New Roman Regular" w:cs="Times New Roman Regular"/>
          <w:shd w:val="clear" w:fill="auto"/>
          <w:vertAlign w:val="baseline"/>
          <w:rtl w:val="0"/>
        </w:rPr>
        <w:fldChar w:fldCharType="end"/>
      </w:r>
    </w:p>
    <w:p w14:paraId="000001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Wishart, D.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HMDB 5.0: the Human Metabolome Database for 2022.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Nucleic Acids Res.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D622–D631 (2022).</w:t>
      </w:r>
      <w:r>
        <w:rPr>
          <w:rFonts w:hint="default" w:ascii="Times New Roman Regular" w:hAnsi="Times New Roman Regular" w:cs="Times New Roman Regular"/>
          <w:shd w:val="clear" w:fill="auto"/>
          <w:vertAlign w:val="baseline"/>
          <w:rtl w:val="0"/>
        </w:rPr>
        <w:fldChar w:fldCharType="end"/>
      </w:r>
    </w:p>
    <w:p w14:paraId="000001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Shen, X. &amp; Snyder, M. P. microbiomedataset: A tidyverse-style framework for organizing and processing microbiome data. 2023.09.17.558096 Preprint at https://doi.org/10.1101/2023.09.17.558096 (2023).</w:t>
      </w:r>
      <w:r>
        <w:rPr>
          <w:rFonts w:hint="default" w:ascii="Times New Roman Regular" w:hAnsi="Times New Roman Regular" w:cs="Times New Roman Regular"/>
          <w:shd w:val="clear" w:fill="auto"/>
          <w:vertAlign w:val="baseline"/>
          <w:rtl w:val="0"/>
        </w:rPr>
        <w:fldChar w:fldCharType="end"/>
      </w:r>
    </w:p>
    <w:p w14:paraId="00000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TidyMass an object-oriented reproducible analysis framework for LC-MS data.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4365 (2022).</w:t>
      </w:r>
      <w:r>
        <w:rPr>
          <w:rFonts w:hint="default" w:ascii="Times New Roman Regular" w:hAnsi="Times New Roman Regular" w:cs="Times New Roman Regular"/>
          <w:shd w:val="clear" w:fill="auto"/>
          <w:vertAlign w:val="baseline"/>
          <w:rtl w:val="0"/>
        </w:rPr>
        <w:fldChar w:fldCharType="end"/>
      </w:r>
    </w:p>
    <w:p w14:paraId="000001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Wang, C. &amp; Snyder, M. P. massDatabase: utilities for the operation of the public compound and pathway database.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Bioinforma. Oxf. Engl.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4650–4651 (2022).</w:t>
      </w:r>
      <w:r>
        <w:rPr>
          <w:rFonts w:hint="default" w:ascii="Times New Roman Regular" w:hAnsi="Times New Roman Regular" w:cs="Times New Roman Regular"/>
          <w:shd w:val="clear" w:fill="auto"/>
          <w:vertAlign w:val="baseline"/>
          <w:rtl w:val="0"/>
        </w:rPr>
        <w:fldChar w:fldCharType="end"/>
      </w:r>
    </w:p>
    <w:p w14:paraId="00000135">
      <w:pPr>
        <w:spacing w:after="200" w:line="276" w:lineRule="auto"/>
        <w:jc w:val="both"/>
        <w:rPr>
          <w:rFonts w:ascii="Times New Roman" w:hAnsi="Times New Roman" w:eastAsia="Times New Roman" w:cs="Times New Roman"/>
          <w:color w:val="212121"/>
          <w:highlight w:val="white"/>
        </w:rPr>
      </w:pPr>
    </w:p>
    <w:p w14:paraId="00000136">
      <w:pPr>
        <w:spacing w:after="200" w:line="276" w:lineRule="auto"/>
        <w:jc w:val="both"/>
        <w:rPr>
          <w:rFonts w:ascii="Times New Roman" w:hAnsi="Times New Roman" w:eastAsia="Times New Roman" w:cs="Times New Roman"/>
          <w:color w:val="212121"/>
          <w:highlight w:val="white"/>
        </w:rPr>
      </w:pPr>
    </w:p>
    <w:sectPr>
      <w:headerReference r:id="rId5" w:type="default"/>
      <w:footerReference r:id="rId6" w:type="default"/>
      <w:pgSz w:w="11909" w:h="16834"/>
      <w:pgMar w:top="1440" w:right="1440" w:bottom="1440" w:left="1440" w:header="720" w:footer="720" w:gutter="0"/>
      <w:lnNumType w:countBy="1" w:restart="continuou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Gungsuh">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儷宋 Pro">
    <w:panose1 w:val="02020300000000000000"/>
    <w:charset w:val="88"/>
    <w:family w:val="auto"/>
    <w:pitch w:val="default"/>
    <w:sig w:usb0="80000001" w:usb1="28091800" w:usb2="00000016" w:usb3="00000000" w:csb0="00100000" w:csb1="0000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7">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7D482E"/>
    <w:multiLevelType w:val="multilevel"/>
    <w:tmpl w:val="FE7D48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5CBBA24C"/>
    <w:multiLevelType w:val="multilevel"/>
    <w:tmpl w:val="5CBBA24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rsids>
    <w:rsidRoot w:val="00000000"/>
    <w:rsid w:val="ECFF4115"/>
    <w:rsid w:val="FC5A27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32</Pages>
  <Words>14243</Words>
  <Characters>89476</Characters>
  <TotalTime>25</TotalTime>
  <ScaleCrop>false</ScaleCrop>
  <LinksUpToDate>false</LinksUpToDate>
  <CharactersWithSpaces>103850</CharactersWithSpaces>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2025-07-28T12:40:18Z</dcterms:created>
  <dc:creator>Data</dc:creator>
  <cp:lastModifiedBy>zhangjingxiang</cp:lastModifiedBy>
  <dcterms:modified xsi:type="dcterms:W3CDTF">2025-07-28T13:32:48Z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EF7ED9503619BE2E6C008768B8CB43CF_42</vt:lpwstr>
  </property>
</Properties>
</file>