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Supplementary Information for </w:t>
      </w:r>
    </w:p>
    <w:p w:rsidR="00000000" w:rsidDel="00000000" w:rsidP="00000000" w:rsidRDefault="00000000" w:rsidRPr="00000000" w14:paraId="000000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Cross-Body Site Microbial Interactions Influence the Human Plasma Metabolome</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6040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Extended Data Fig. 1</w:t>
      </w:r>
      <w:r w:rsidDel="00000000" w:rsidR="00000000" w:rsidRPr="00000000">
        <w:rPr>
          <w:rFonts w:ascii="Times New Roman" w:cs="Times New Roman" w:eastAsia="Times New Roman" w:hAnsi="Times New Roman"/>
          <w:b w:val="1"/>
          <w:rtl w:val="0"/>
        </w:rPr>
        <w:t xml:space="preserve"> | a-b, </w:t>
      </w:r>
      <w:r w:rsidDel="00000000" w:rsidR="00000000" w:rsidRPr="00000000">
        <w:rPr>
          <w:rFonts w:ascii="Times New Roman" w:cs="Times New Roman" w:eastAsia="Times New Roman" w:hAnsi="Times New Roman"/>
          <w:rtl w:val="0"/>
        </w:rPr>
        <w:t xml:space="preserve">The demographics of discovery and validation cohorts 2. Top: Discovery cohort, bottom: validation cohort 2. </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The Venn</w:t>
      </w:r>
      <w:r w:rsidDel="00000000" w:rsidR="00000000" w:rsidRPr="00000000">
        <w:rPr>
          <w:rFonts w:ascii="Times New Roman" w:cs="Times New Roman" w:eastAsia="Times New Roman" w:hAnsi="Times New Roman"/>
          <w:rtl w:val="0"/>
        </w:rPr>
        <w:t xml:space="preserve"> diagram showing the distribution of detected metabolites by origin based on HMDB annotation. </w:t>
      </w:r>
      <w:r w:rsidDel="00000000" w:rsidR="00000000" w:rsidRPr="00000000">
        <w:rPr>
          <w:rFonts w:ascii="Times New Roman" w:cs="Times New Roman" w:eastAsia="Times New Roman" w:hAnsi="Times New Roman"/>
          <w:b w:val="1"/>
          <w:rtl w:val="0"/>
        </w:rPr>
        <w:t xml:space="preserve">d, </w:t>
      </w:r>
      <w:r w:rsidDel="00000000" w:rsidR="00000000" w:rsidRPr="00000000">
        <w:rPr>
          <w:rFonts w:ascii="Times New Roman" w:cs="Times New Roman" w:eastAsia="Times New Roman" w:hAnsi="Times New Roman"/>
          <w:rtl w:val="0"/>
        </w:rPr>
        <w:t xml:space="preserve">Chi-squared test of metabolite class distribution across different body sites. The heatmap shows pairwise comparisons of metabolite type distributions associated with four body sites: gut, nasal, oral, and skin.</w:t>
      </w:r>
    </w:p>
    <w:p w:rsidR="00000000" w:rsidDel="00000000" w:rsidP="00000000" w:rsidRDefault="00000000" w:rsidRPr="00000000" w14:paraId="0000000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color w:val="070102"/>
        </w:rPr>
      </w:pPr>
      <w:r w:rsidDel="00000000" w:rsidR="00000000" w:rsidRPr="00000000">
        <w:rPr>
          <w:rFonts w:ascii="Times New Roman" w:cs="Times New Roman" w:eastAsia="Times New Roman" w:hAnsi="Times New Roman"/>
          <w:b w:val="1"/>
          <w:color w:val="070102"/>
        </w:rPr>
        <w:drawing>
          <wp:inline distB="114300" distT="114300" distL="114300" distR="114300">
            <wp:extent cx="5731200" cy="7658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658100"/>
                    </a:xfrm>
                    <a:prstGeom prst="rect"/>
                    <a:ln/>
                  </pic:spPr>
                </pic:pic>
              </a:graphicData>
            </a:graphic>
          </wp:inline>
        </w:drawing>
      </w:r>
      <w:r w:rsidDel="00000000" w:rsidR="00000000" w:rsidRPr="00000000">
        <w:rPr>
          <w:rFonts w:ascii="Times New Roman" w:cs="Times New Roman" w:eastAsia="Times New Roman" w:hAnsi="Times New Roman"/>
          <w:b w:val="1"/>
          <w:color w:val="070102"/>
          <w:rtl w:val="0"/>
        </w:rPr>
        <w:t xml:space="preserve">s</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Extended Data Fig. 2</w:t>
      </w:r>
      <w:r w:rsidDel="00000000" w:rsidR="00000000" w:rsidRPr="00000000">
        <w:rPr>
          <w:rFonts w:ascii="Times New Roman" w:cs="Times New Roman" w:eastAsia="Times New Roman" w:hAnsi="Times New Roman"/>
          <w:b w:val="1"/>
          <w:rtl w:val="0"/>
        </w:rPr>
        <w:t xml:space="preserve"> | a</w:t>
      </w:r>
      <w:r w:rsidDel="00000000" w:rsidR="00000000" w:rsidRPr="00000000">
        <w:rPr>
          <w:rFonts w:ascii="Times New Roman" w:cs="Times New Roman" w:eastAsia="Times New Roman" w:hAnsi="Times New Roman"/>
          <w:rtl w:val="0"/>
        </w:rPr>
        <w:t xml:space="preserve">, The correlation network of microbiota and metabolites.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The top 5 genera with the highest degrees in the network of each body site. </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The top 10 metabolites with the highest degrees in the network.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The lollipop plots showing the top 20 genera with the strongest correlation with metabolome PC1 in each body site. </w:t>
      </w: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Spearman correlation of the top 100 most significant metabolites-bacteria association in the discovery and validation cohorts 2.</w:t>
      </w:r>
    </w:p>
    <w:p w:rsidR="00000000" w:rsidDel="00000000" w:rsidP="00000000" w:rsidRDefault="00000000" w:rsidRPr="00000000" w14:paraId="0000000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6108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Extended Data Fig. 3 | a-d, </w:t>
      </w:r>
      <w:r w:rsidDel="00000000" w:rsidR="00000000" w:rsidRPr="00000000">
        <w:rPr>
          <w:rFonts w:ascii="Times New Roman" w:cs="Times New Roman" w:eastAsia="Times New Roman" w:hAnsi="Times New Roman"/>
          <w:rtl w:val="0"/>
        </w:rPr>
        <w:t xml:space="preserve">Distribution of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​​for GBDT and lasso models for four body sites. </w:t>
      </w: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of predicted metabolites in the discovery cohort plotted against the rate of replicated associations in the validation cohort 2, computed as the fraction of significant replications out of all predictions with equal or higher predicted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in our cohort, and the cumulative number of metabolites. </w:t>
      </w:r>
      <w:r w:rsidDel="00000000" w:rsidR="00000000" w:rsidRPr="00000000">
        <w:rPr>
          <w:rFonts w:ascii="Times New Roman" w:cs="Times New Roman" w:eastAsia="Times New Roman" w:hAnsi="Times New Roman"/>
          <w:b w:val="1"/>
          <w:rtl w:val="0"/>
        </w:rPr>
        <w:t xml:space="preserve">f, </w:t>
      </w:r>
      <w:r w:rsidDel="00000000" w:rsidR="00000000" w:rsidRPr="00000000">
        <w:rPr>
          <w:rFonts w:ascii="Times New Roman" w:cs="Times New Roman" w:eastAsia="Times New Roman" w:hAnsi="Times New Roman"/>
          <w:rtl w:val="0"/>
        </w:rPr>
        <w:t xml:space="preserve">The top 15 metabolites that could be successfully validated in the</w:t>
      </w:r>
      <w:r w:rsidDel="00000000" w:rsidR="00000000" w:rsidRPr="00000000">
        <w:rPr>
          <w:rFonts w:ascii="Times New Roman" w:cs="Times New Roman" w:eastAsia="Times New Roman" w:hAnsi="Times New Roman"/>
          <w:rtl w:val="0"/>
        </w:rPr>
        <w:t xml:space="preserve"> validation cohort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26162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Extended Data Fig. 4 | a, </w:t>
      </w:r>
      <w:r w:rsidDel="00000000" w:rsidR="00000000" w:rsidRPr="00000000">
        <w:rPr>
          <w:rFonts w:ascii="Times New Roman" w:cs="Times New Roman" w:eastAsia="Times New Roman" w:hAnsi="Times New Roman"/>
          <w:rtl w:val="0"/>
        </w:rPr>
        <w:t xml:space="preserve">The number of features from different categories to be included in the joint GBDT model (oral and gut microbiomes).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The cumulative importance contribution percentage of features of different categories.</w:t>
      </w:r>
    </w:p>
    <w:p w:rsidR="00000000" w:rsidDel="00000000" w:rsidP="00000000" w:rsidRDefault="00000000" w:rsidRPr="00000000" w14:paraId="000000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64516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Extended Data Fig. 5 |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Sankey diagram illustrating significant mediation effects identified in the validation cohort 1. Edges connect taxa from the oral microbiome (left) to gut microbial genera (middle) and ultimately to plasma metabolites (right). </w:t>
      </w:r>
      <w:r w:rsidDel="00000000" w:rsidR="00000000" w:rsidRPr="00000000">
        <w:rPr>
          <w:rFonts w:ascii="Times New Roman" w:cs="Times New Roman" w:eastAsia="Times New Roman" w:hAnsi="Times New Roman"/>
          <w:b w:val="1"/>
          <w:rtl w:val="0"/>
        </w:rPr>
        <w:t xml:space="preserve">b-c,</w:t>
      </w:r>
      <w:r w:rsidDel="00000000" w:rsidR="00000000" w:rsidRPr="00000000">
        <w:rPr>
          <w:rFonts w:ascii="Times New Roman" w:cs="Times New Roman" w:eastAsia="Times New Roman" w:hAnsi="Times New Roman"/>
          <w:rtl w:val="0"/>
        </w:rPr>
        <w:t xml:space="preserve"> Circular mediation diagrams showing specific examples of oral-gut microbial cooperation in influencing plasma metabolites in the validation cohort 1.</w:t>
      </w:r>
    </w:p>
    <w:p w:rsidR="00000000" w:rsidDel="00000000" w:rsidP="00000000" w:rsidRDefault="00000000" w:rsidRPr="00000000" w14:paraId="000000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2425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Extended Data Fig. 6 | </w:t>
      </w:r>
      <w:r w:rsidDel="00000000" w:rsidR="00000000" w:rsidRPr="00000000">
        <w:rPr>
          <w:rFonts w:ascii="Times New Roman" w:cs="Times New Roman" w:eastAsia="Times New Roman" w:hAnsi="Times New Roman"/>
          <w:b w:val="1"/>
          <w:rtl w:val="0"/>
        </w:rPr>
        <w:t xml:space="preserve">a-b,</w:t>
      </w:r>
      <w:r w:rsidDel="00000000" w:rsidR="00000000" w:rsidRPr="00000000">
        <w:rPr>
          <w:rFonts w:ascii="Times New Roman" w:cs="Times New Roman" w:eastAsia="Times New Roman" w:hAnsi="Times New Roman"/>
          <w:rtl w:val="0"/>
        </w:rPr>
        <w:t xml:space="preserve"> NMDS ordination plot showing Bray-Curtis distances of gut and oral microbial communities (stress = 0.097/0.093). Points represent individual samples colored by insulin sensitivity status.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Supplementary Note</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version 4.4.1 (2024-06-14)</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aarch64-apple-darwin20</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under: macOS 15.5</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base packages:</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stats4    stats     graphics  grDevices utils     datasets  methods   base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attached packages: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MSnbase_2.30.1      ProtGenerics_1.36.0 S4Vectors_0.42.1    mzR_2.38.0          Rcpp_1.0.13-1       Biobase_2.64.0      BiocGenerics_0.50.0 ggplot2_3.5.1       massdataset_1.0.34 </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dplyr_1.1.4         magrittr_2.0.3      masstools_1.0.13    metid_1.2.35        metpath_1.0.8      </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loaded via a namespace (and not attached):</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RColorBrewer_1.1-3          rstudioapi_0.17.1           jsonlite_1.8.9              shape_1.4.6.1               MultiAssayExperiment_1.30.3 rmarkdown_2.29             </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farver_2.1.2                MALDIquant_1.22.3           GlobalOptions_0.1.2         zlibbioc_1.50.0             vctrs_0.6.5                 memoise_2.0.1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 RCurl_1.98-1.16             progress_1.2.3              htmltools_0.5.8.1           S4Arrays_1.4.1              cellranger_1.1.0            SparseArray_1.4.8          </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 mzID_1.42.0                 parallelly_1.39.0           htmlwidgets_1.6.4           plyr_1.8.9                  plotly_4.10.4               impute_1.78.0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 cachem_1.1.0                igraph_2.1.1                lifecycle_1.0.4             iterators_1.0.14            pkgconfig_2.0.3             Matrix_1.7-1               </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R6_2.5.1                    fastmap_1.2.0               GenomeInfoDbData_1.2.12     MatrixGenerics_1.16.0       future_1.34.0               clue_0.3-65                </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[37] digest_0.6.37               pcaMethods_1.96.0           colorspace_2.1-1            furrr_0.3.1                 GenomicRanges_1.56.2        fansi_1.0.6                </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[43] httr_1.4.7                  polyclip_1.10-7             abind_1.4-8                 compiler_4.4.1              remotes_2.5.0               withr_3.0.2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[49] doParallel_1.0.17           BiocParallel_1.38.0         viridis_0.6.5               ggforce_0.4.2               MASS_7.3-61                 DelayedArray_0.30.1        </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[55] rjson_0.2.23                tools_4.4.1                 PSMatch_1.8.0               zip_2.3.1                   glue_1.8.0                  QFeatures_1.14.2           </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 grid_4.4.1                  cluster_2.1.6               reshape2_1.4.4              generics_0.1.3              gtable_0.3.6                tzdb_0.4.0                 </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[67] preprocessCore_1.66.0       tidyr_1.3.1                 data.table_1.16.2           hms_1.1.3                   tidygraph_1.3.1             utf8_1.2.4                 </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[73] XVector_0.44.0              ggrepel_0.9.6               foreach_1.5.2               pillar_1.9.0                stringr_1.5.1               limma_3.60.6               </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[79] circlize_0.4.16             tweenr_2.0.3                lattice_0.22-6              tidyselect_1.2.1            ComplexHeatmap_2.20.0       Biostrings_2.72.1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[85] pbapply_1.7-2               knitr_1.49                  gridExtra_2.3               IRanges_2.38.1              SummarizedExperiment_1.34.0 xfun_0.49                  </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[91] graphlayouts_1.2.0          statmod_1.5.0               matrixStats_1.4.1           stringi_1.8.4               UCSC.utils_1.0.0            yaml_2.3.10                </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[97] lazyeval_0.2.2              evaluate_1.0.1              codetools_0.2-20            ggraph_2.2.1                MsCoreUtils_1.16.1          tibble_3.2.1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BiocManager_1.30.25         cli_3.6.3                   affyio_1.74.0               munsell_0.5.1               readxl_1.4.3                GenomeInfoDb_1.40.1        </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 globals_0.16.3              png_0.1-8                   XML_3.99-0.17               parallel_4.4.1              readr_2.1.5                 prettyunits_1.2.0          </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AnnotationFilter_1.28.0     bitops_1.0-9                listenv_0.9.1               viridisLite_0.4.2           scales_1.3.0                affy_1.82.0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openxlsx_4.2.7.1            ncdf4_1.23                  purrr_1.0.2                 crayon_1.5.3                GetoptLong_1.0.5            rlang_1.1.4    </w:t>
      </w:r>
    </w:p>
    <w:p w:rsidR="00000000" w:rsidDel="00000000" w:rsidP="00000000" w:rsidRDefault="00000000" w:rsidRPr="00000000" w14:paraId="00000044">
      <w:pPr>
        <w:jc w:val="both"/>
        <w:rPr>
          <w:rFonts w:ascii="Times New Roman" w:cs="Times New Roman" w:eastAsia="Times New Roman" w:hAnsi="Times New Roman"/>
          <w:b w:val="1"/>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