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1E448" w14:textId="77777777"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14:paraId="189F72AE" w14:textId="77777777" w:rsidR="00935C57" w:rsidRPr="006C2C0F" w:rsidRDefault="005E41BA" w:rsidP="00B637BC">
      <w:pPr>
        <w:pStyle w:val="article-info"/>
      </w:pPr>
      <w:r w:rsidRPr="006C2C0F">
        <w:t>d</w:t>
      </w:r>
      <w:r w:rsidR="00806CED" w:rsidRPr="006C2C0F">
        <w:t>oi: 10.1093/bioinformatics/xxxxx</w:t>
      </w:r>
    </w:p>
    <w:p w14:paraId="37FF2C7E" w14:textId="77777777" w:rsidR="005E41BA" w:rsidRPr="006C2C0F" w:rsidRDefault="005E41BA" w:rsidP="00B637BC">
      <w:pPr>
        <w:pStyle w:val="article-info"/>
      </w:pPr>
      <w:r w:rsidRPr="006C2C0F">
        <w:t>Advance Access Publication Date: DD Month YYYY</w:t>
      </w:r>
    </w:p>
    <w:p w14:paraId="535AA8DA" w14:textId="77777777" w:rsidR="006C2C0F" w:rsidRPr="006C2C0F" w:rsidRDefault="006C2C0F" w:rsidP="00B637BC">
      <w:pPr>
        <w:pStyle w:val="article-info"/>
      </w:pPr>
      <w:r w:rsidRPr="006C2C0F">
        <w:t xml:space="preserve">Manuscript </w:t>
      </w:r>
      <w:r w:rsidR="003A4127">
        <w:t>Category</w:t>
      </w:r>
    </w:p>
    <w:p w14:paraId="580C8D2F"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2CD500D7" w14:textId="77777777" w:rsidTr="00F137B5">
        <w:tc>
          <w:tcPr>
            <w:tcW w:w="8320" w:type="dxa"/>
          </w:tcPr>
          <w:p w14:paraId="749123AE" w14:textId="11E9D13E" w:rsidR="00CC64E3" w:rsidRPr="00F362A7" w:rsidRDefault="00804467" w:rsidP="00435193">
            <w:pPr>
              <w:pStyle w:val="Subtitle"/>
            </w:pPr>
            <w:r>
              <w:t>Systems Biology</w:t>
            </w:r>
          </w:p>
          <w:p w14:paraId="7F12C1B8" w14:textId="27882A1B" w:rsidR="00CC64E3" w:rsidRPr="00F362A7" w:rsidRDefault="00B37FFC" w:rsidP="00435193">
            <w:pPr>
              <w:pStyle w:val="Title"/>
            </w:pPr>
            <w:r w:rsidRPr="00B37FFC">
              <w:t>metID: A R package for automatable compound annotation for LC-MS-based data</w:t>
            </w:r>
          </w:p>
          <w:p w14:paraId="0D9EA543" w14:textId="77777777" w:rsidR="00CC64E3" w:rsidRPr="00F362A7" w:rsidRDefault="00CC64E3" w:rsidP="00513FFC">
            <w:pPr>
              <w:pStyle w:val="Author-Group"/>
            </w:pPr>
            <w:r w:rsidRPr="00F362A7">
              <w:t>Co</w:t>
            </w:r>
            <w:r w:rsidR="00801742">
              <w:t>r</w:t>
            </w:r>
            <w:r w:rsidRPr="00F362A7">
              <w:t>responding Author</w:t>
            </w:r>
            <w:r w:rsidRPr="00F362A7">
              <w:rPr>
                <w:vertAlign w:val="superscript"/>
              </w:rPr>
              <w:t>1,</w:t>
            </w:r>
            <w:r w:rsidRPr="00F362A7">
              <w:rPr>
                <w:rFonts w:ascii="Times New Roman" w:hAnsi="Times New Roman"/>
                <w:vertAlign w:val="superscript"/>
              </w:rPr>
              <w:t>*</w:t>
            </w:r>
            <w:r w:rsidRPr="00F362A7">
              <w:t>, Co-author</w:t>
            </w:r>
            <w:r w:rsidRPr="00F362A7">
              <w:rPr>
                <w:vertAlign w:val="superscript"/>
              </w:rPr>
              <w:t>2</w:t>
            </w:r>
            <w:r w:rsidRPr="00F362A7">
              <w:t xml:space="preserve"> and Co-Author</w:t>
            </w:r>
            <w:r w:rsidRPr="00F362A7">
              <w:rPr>
                <w:vertAlign w:val="superscript"/>
              </w:rPr>
              <w:t>2</w:t>
            </w:r>
          </w:p>
          <w:p w14:paraId="1A36A0BB" w14:textId="77777777" w:rsidR="00CC64E3" w:rsidRPr="00D65C51" w:rsidRDefault="00CC64E3" w:rsidP="00513FFC">
            <w:pPr>
              <w:pStyle w:val="Author-Affiliation"/>
            </w:pPr>
            <w:r w:rsidRPr="00D65C51">
              <w:rPr>
                <w:vertAlign w:val="superscript"/>
              </w:rPr>
              <w:t>1</w:t>
            </w:r>
            <w:r w:rsidRPr="00D65C51">
              <w:t xml:space="preserve">Department of XXXXXXX, Address XXXX etc., </w:t>
            </w:r>
            <w:r w:rsidRPr="00D65C51">
              <w:rPr>
                <w:vertAlign w:val="superscript"/>
              </w:rPr>
              <w:t>2</w:t>
            </w:r>
            <w:r w:rsidRPr="00D65C51">
              <w:t>Department of XXXXXXX, Address XXXX etc.</w:t>
            </w:r>
          </w:p>
          <w:p w14:paraId="3CC0F1E9" w14:textId="77777777" w:rsidR="00CC64E3" w:rsidRPr="00D65C51" w:rsidRDefault="00CC64E3" w:rsidP="002F4CA8">
            <w:pPr>
              <w:pStyle w:val="corrs-au"/>
            </w:pPr>
            <w:r w:rsidRPr="00D65C51">
              <w:t>*To whom correspondence should be addressed.</w:t>
            </w:r>
          </w:p>
          <w:p w14:paraId="510D5887" w14:textId="77777777" w:rsidR="00CC64E3" w:rsidRPr="00D65C51" w:rsidRDefault="00CC64E3" w:rsidP="002F4CA8">
            <w:pPr>
              <w:pStyle w:val="corrs-au"/>
            </w:pPr>
            <w:r w:rsidRPr="00D65C51">
              <w:t>Associate Editor: XXXXXXX</w:t>
            </w:r>
          </w:p>
          <w:p w14:paraId="080A0791" w14:textId="77777777"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14:paraId="03D0F4F6" w14:textId="77777777" w:rsidR="00CC64E3" w:rsidRPr="00C4341F" w:rsidRDefault="00CC64E3" w:rsidP="00A5432A">
            <w:pPr>
              <w:pStyle w:val="Abstract-Head"/>
            </w:pPr>
            <w:r w:rsidRPr="00C4341F">
              <w:t>Abstract</w:t>
            </w:r>
          </w:p>
          <w:p w14:paraId="02522616" w14:textId="77777777" w:rsidR="00CC64E3" w:rsidRPr="00DA7E18" w:rsidRDefault="00CC64E3" w:rsidP="00A5432A">
            <w:pPr>
              <w:pStyle w:val="Abstract-Text"/>
            </w:pPr>
            <w:r w:rsidRPr="00DA7E18">
              <w:rPr>
                <w:b/>
                <w:bCs/>
              </w:rPr>
              <w:t>Motivation:</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14:paraId="248BCD9F" w14:textId="77777777" w:rsidR="00CC64E3" w:rsidRDefault="00CC64E3" w:rsidP="00A5432A">
            <w:pPr>
              <w:pStyle w:val="Abstract-Text"/>
            </w:pPr>
            <w:r w:rsidRPr="00DA7E18">
              <w:rPr>
                <w:b/>
              </w:rPr>
              <w:t>Results:</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14:paraId="225C0603" w14:textId="77777777"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Pr="00D665A4">
              <w:t>The quick brown fox jumps over the lazy dog</w:t>
            </w:r>
            <w:r>
              <w:t>.</w:t>
            </w:r>
          </w:p>
          <w:p w14:paraId="3F5F62E1" w14:textId="77777777"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Pr>
                <w:lang w:val="en-GB" w:eastAsia="en-IN"/>
              </w:rPr>
              <w:t xml:space="preserve">example@example.org </w:t>
            </w:r>
          </w:p>
          <w:p w14:paraId="496117A5" w14:textId="77777777"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028E012A" w14:textId="77777777" w:rsidR="002C783E" w:rsidRDefault="002C783E">
      <w:pPr>
        <w:pStyle w:val="AbstractHead"/>
        <w:spacing w:line="14" w:lineRule="exact"/>
      </w:pPr>
    </w:p>
    <w:p w14:paraId="1CCF5F8F" w14:textId="77777777" w:rsidR="00400C63" w:rsidRDefault="00400C63">
      <w:pPr>
        <w:pStyle w:val="AbstractHead"/>
        <w:spacing w:line="14" w:lineRule="exact"/>
      </w:pPr>
    </w:p>
    <w:p w14:paraId="5A91A660" w14:textId="77777777"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20A88EEA" w14:textId="77777777" w:rsidR="00D83B8A" w:rsidRPr="00F4766C" w:rsidRDefault="00952599" w:rsidP="001A0125">
      <w:pPr>
        <w:pStyle w:val="Heading1"/>
      </w:pPr>
      <w:r w:rsidRPr="00F4766C">
        <w:t xml:space="preserve">Introduction </w:t>
      </w:r>
    </w:p>
    <w:p w14:paraId="31A637DE" w14:textId="77777777" w:rsidR="003770AB" w:rsidRDefault="003770AB" w:rsidP="003770AB">
      <w:pPr>
        <w:pStyle w:val="para-first"/>
      </w:pPr>
      <w:r>
        <w:t>Liquid chromatography coupled to mass spectrometry (LC-MS) is a comprehensive, no-biased technology to research small compounds, which has become more and more popular in food, environment, and biomedical studies(Wishart, 2016)(Fraga-Corral et al., 2020). However, accurate and efficient compound annotation serves as a vital hub prior to data interpretation and further biological hypothesis generation. To present compound annotation in a standardized way, the metabolomics community proposed the annotation levels from 1-4 (Sumner et al., 2007), where the criteria mainly contains mass to charge ratio (m/z), retention time (RT) and MS2 spectra match, which are gold and generally accept standards for compound annotation. Several databases have been made for the public [ref]. Based on these resources, some tools (Chaleckis et al., 2019) were developed for compound annotation. However, the limitations of most of these tools are as follows: (1) these tools usually only use m/z and/or MS2 spectra information, but lack retention time. (2) No single tool so far has combined all possible databases including in-house and public databases in a streamlined fashion; (3) No command line-based tool to allow in-house database construction and automatic compound annotation, which is important to deploy it on cluster servers to take advantage of great computing power.</w:t>
      </w:r>
    </w:p>
    <w:p w14:paraId="6F08CEAD" w14:textId="50BA0914" w:rsidR="003770AB" w:rsidRPr="00F4766C" w:rsidRDefault="003770AB" w:rsidP="003770AB">
      <w:pPr>
        <w:pStyle w:val="para-first"/>
      </w:pPr>
      <w:r>
        <w:t xml:space="preserve">In this context, we introduce a new R package, “metID”, particularly designed for (1) construct users’ own in-house database and (2) automatable </w:t>
      </w:r>
      <w:r>
        <w:t xml:space="preserve">and simple compound annotation. As annotation level 1, metID also provides our in-house databases containing more than 1,000 standards by manual curating (users need use the same LC gradient to use RT). For level 2, metID now provides 6 public MS2 databases (~39,015 compounds and 59,289 spectra) and 6 MS1 databases. metID integrates all these databases and generates annotation scoring metrics and confidence levels for users to assess annotation quality for environment, food/drug and biomedical studies.  </w:t>
      </w:r>
    </w:p>
    <w:p w14:paraId="475D749B" w14:textId="2C924EE4" w:rsidR="00D83B8A" w:rsidRDefault="009F05D6" w:rsidP="001A0125">
      <w:pPr>
        <w:pStyle w:val="Heading1"/>
      </w:pPr>
      <w:r w:rsidRPr="009F05D6">
        <w:t>Features and methods</w:t>
      </w:r>
    </w:p>
    <w:p w14:paraId="374D4354" w14:textId="4D7B7971" w:rsidR="007013C2" w:rsidRDefault="007013C2" w:rsidP="004E0596">
      <w:pPr>
        <w:pStyle w:val="para-first"/>
      </w:pPr>
      <w:r w:rsidRPr="007013C2">
        <w:t>Using metID, users can easily build in-house databases using the standards that were acquired in their own laboratories. The public databases can also be easily organized as the database format for metID. The in-house databases in our laboratory and several public databases are provided. metID can be installed on all platforms (Mac OS, Windows and Linux).</w:t>
      </w:r>
    </w:p>
    <w:p w14:paraId="129F9148" w14:textId="77777777" w:rsidR="00500307" w:rsidRPr="00D20FD2" w:rsidRDefault="00500307" w:rsidP="00500307">
      <w:pPr>
        <w:pStyle w:val="para-first"/>
        <w:rPr>
          <w:b/>
          <w:bCs/>
        </w:rPr>
      </w:pPr>
      <w:r w:rsidRPr="00D20FD2">
        <w:rPr>
          <w:b/>
          <w:bCs/>
        </w:rPr>
        <w:t>2.1 Database construction for metID</w:t>
      </w:r>
    </w:p>
    <w:p w14:paraId="0E9543F6" w14:textId="77777777" w:rsidR="00500307" w:rsidRDefault="00500307" w:rsidP="00500307">
      <w:pPr>
        <w:pStyle w:val="para-first"/>
      </w:pPr>
      <w:r>
        <w:t>If users have in-house standards which have been acquired with MS2 spectra, it is possible to build the in-house database using the “construct_database()” function (Fig. 1a). Three items are contained in the database: (1) database information, (2) standard information and (3) MS2 spectra for each compound.</w:t>
      </w:r>
    </w:p>
    <w:p w14:paraId="0F5CEED1" w14:textId="77777777" w:rsidR="00500307" w:rsidRPr="00D20FD2" w:rsidRDefault="00500307" w:rsidP="00500307">
      <w:pPr>
        <w:pStyle w:val="para-first"/>
        <w:rPr>
          <w:b/>
          <w:bCs/>
        </w:rPr>
      </w:pPr>
      <w:r w:rsidRPr="00D20FD2">
        <w:rPr>
          <w:b/>
          <w:bCs/>
        </w:rPr>
        <w:t>2.2 Compound identification</w:t>
      </w:r>
    </w:p>
    <w:p w14:paraId="14EEC6A9" w14:textId="7B426F1C" w:rsidR="00500307" w:rsidRPr="004E13A5" w:rsidRDefault="00500307" w:rsidP="00500307">
      <w:pPr>
        <w:pStyle w:val="para-first"/>
      </w:pPr>
      <w:r>
        <w:t xml:space="preserve">RT may shift in different acquisition batches. Therefore, it is necessary to correct the RTs in databases using the “correct_database_rt()” function if </w:t>
      </w:r>
      <w:r>
        <w:lastRenderedPageBreak/>
        <w:t>you spike internal standards into standards and biological samples. Then metID can annotate compounds with different levels according to databases (in-house databases, level 1; public MS2 database, level 2; MS1 databases, level 3). For m/z (ppm), RT (second) and MS2 spectra match (cosine score) scores, they are combined as one total score and scaled to 0-1 (Fig. 1b).</w:t>
      </w:r>
    </w:p>
    <w:p w14:paraId="21E69CF9" w14:textId="77777777" w:rsidR="00D83B8A" w:rsidRDefault="00EF5D71" w:rsidP="001A0125">
      <w:pPr>
        <w:pStyle w:val="Heading1"/>
      </w:pPr>
      <w:r>
        <w:t>R</w:t>
      </w:r>
      <w:r w:rsidR="00D83B8A">
        <w:t>esults</w:t>
      </w:r>
    </w:p>
    <w:p w14:paraId="6DB4BEF7" w14:textId="2B8013C1" w:rsidR="00A12CAD" w:rsidRDefault="00A12CAD" w:rsidP="004E0596">
      <w:pPr>
        <w:pStyle w:val="para-first"/>
      </w:pPr>
      <w:r w:rsidRPr="00A12CAD">
        <w:t>We applied metID on a public study (Contrepois et al., 2020). The authors reported X annotated metabolites. Using metID, we successfully annotated X compounds (level 1/2). X% of annotations overlapped. Besides these overlapping annotations, metID is able to annotate X new compounds that were not annotated in the original publication. These results indicate that metID is a valid automatable approach for compound annotation.  (see Supplementary Material).</w:t>
      </w:r>
    </w:p>
    <w:p w14:paraId="1D113370" w14:textId="77777777" w:rsidR="0001213C" w:rsidRPr="00366351" w:rsidRDefault="00D83B8A" w:rsidP="0001213C">
      <w:pPr>
        <w:pStyle w:val="ParaNoInd"/>
        <w:rPr>
          <w:sz w:val="16"/>
          <w:szCs w:val="16"/>
        </w:rPr>
      </w:pPr>
      <w:r w:rsidRPr="00366351">
        <w:rPr>
          <w:sz w:val="16"/>
          <w:szCs w:val="16"/>
        </w:rPr>
        <w:t>The quick brown fox jumps over the lazy dog.</w:t>
      </w:r>
      <w:r w:rsidR="001A5509"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366351">
        <w:rPr>
          <w:sz w:val="16"/>
          <w:szCs w:val="16"/>
        </w:rPr>
        <w:t xml:space="preserve"> The quick brown fox jumps over the lazy dog. The quick brown fox jumps over the lazy dog. The quick brown fox jumps over the lazy dog.</w:t>
      </w:r>
      <w:r w:rsidR="0001213C"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37EF0DBB" w14:textId="77777777"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68EE81B1" w14:textId="77777777"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p>
    <w:p w14:paraId="20F25D70" w14:textId="77777777"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93"/>
        <w:gridCol w:w="1666"/>
        <w:gridCol w:w="788"/>
        <w:gridCol w:w="1141"/>
        <w:gridCol w:w="414"/>
      </w:tblGrid>
      <w:tr w:rsidR="00D83B8A" w14:paraId="60CBC355" w14:textId="77777777">
        <w:tc>
          <w:tcPr>
            <w:tcW w:w="740" w:type="dxa"/>
            <w:tcBorders>
              <w:top w:val="single" w:sz="4" w:space="0" w:color="auto"/>
              <w:bottom w:val="single" w:sz="4" w:space="0" w:color="auto"/>
            </w:tcBorders>
          </w:tcPr>
          <w:p w14:paraId="0CF74804" w14:textId="77777777" w:rsidR="00D83B8A" w:rsidRDefault="00D83B8A">
            <w:pPr>
              <w:pStyle w:val="TableColumnhead"/>
            </w:pPr>
            <w:r>
              <w:t>|S|</w:t>
            </w:r>
          </w:p>
        </w:tc>
        <w:tc>
          <w:tcPr>
            <w:tcW w:w="1704" w:type="dxa"/>
            <w:tcBorders>
              <w:top w:val="single" w:sz="4" w:space="0" w:color="auto"/>
              <w:bottom w:val="single" w:sz="4" w:space="0" w:color="auto"/>
            </w:tcBorders>
          </w:tcPr>
          <w:p w14:paraId="05926905" w14:textId="77777777" w:rsidR="00D83B8A" w:rsidRDefault="00D83B8A">
            <w:pPr>
              <w:pStyle w:val="TableColumnhead"/>
            </w:pPr>
            <w:r>
              <w:t>Predicted cost</w:t>
            </w:r>
          </w:p>
        </w:tc>
        <w:tc>
          <w:tcPr>
            <w:tcW w:w="816" w:type="dxa"/>
            <w:tcBorders>
              <w:top w:val="single" w:sz="4" w:space="0" w:color="auto"/>
              <w:bottom w:val="single" w:sz="4" w:space="0" w:color="auto"/>
            </w:tcBorders>
          </w:tcPr>
          <w:p w14:paraId="5CD394B2" w14:textId="77777777" w:rsidR="00D83B8A" w:rsidRDefault="00D83B8A">
            <w:pPr>
              <w:pStyle w:val="TableColumnhead"/>
            </w:pPr>
            <w:r>
              <w:t>Timing</w:t>
            </w:r>
          </w:p>
        </w:tc>
        <w:tc>
          <w:tcPr>
            <w:tcW w:w="1200" w:type="dxa"/>
            <w:tcBorders>
              <w:top w:val="single" w:sz="4" w:space="0" w:color="auto"/>
              <w:bottom w:val="single" w:sz="4" w:space="0" w:color="auto"/>
            </w:tcBorders>
          </w:tcPr>
          <w:p w14:paraId="3BFC4D20" w14:textId="77777777" w:rsidR="00D83B8A" w:rsidRDefault="00D83B8A">
            <w:pPr>
              <w:pStyle w:val="TableColumnhead"/>
            </w:pPr>
            <w:r>
              <w:t>Predicted speed</w:t>
            </w:r>
          </w:p>
        </w:tc>
        <w:tc>
          <w:tcPr>
            <w:tcW w:w="416" w:type="dxa"/>
            <w:tcBorders>
              <w:top w:val="single" w:sz="4" w:space="0" w:color="auto"/>
              <w:bottom w:val="single" w:sz="4" w:space="0" w:color="auto"/>
            </w:tcBorders>
          </w:tcPr>
          <w:p w14:paraId="5927A402" w14:textId="77777777" w:rsidR="00D83B8A" w:rsidRDefault="00D83B8A">
            <w:pPr>
              <w:pStyle w:val="TableColumnhead"/>
            </w:pPr>
            <w:r>
              <w:t>Speed</w:t>
            </w:r>
          </w:p>
        </w:tc>
      </w:tr>
      <w:tr w:rsidR="00D83B8A" w14:paraId="611EE27A" w14:textId="77777777">
        <w:tc>
          <w:tcPr>
            <w:tcW w:w="740" w:type="dxa"/>
            <w:tcBorders>
              <w:top w:val="single" w:sz="4" w:space="0" w:color="auto"/>
            </w:tcBorders>
          </w:tcPr>
          <w:p w14:paraId="04116F38" w14:textId="77777777" w:rsidR="00D83B8A" w:rsidRDefault="00D83B8A">
            <w:pPr>
              <w:pStyle w:val="Tablebodyfirst"/>
            </w:pPr>
            <w:r>
              <w:t xml:space="preserve">  1</w:t>
            </w:r>
          </w:p>
        </w:tc>
        <w:tc>
          <w:tcPr>
            <w:tcW w:w="1704" w:type="dxa"/>
            <w:tcBorders>
              <w:top w:val="single" w:sz="4" w:space="0" w:color="auto"/>
            </w:tcBorders>
          </w:tcPr>
          <w:p w14:paraId="2BE47AEE" w14:textId="77777777" w:rsidR="00D83B8A" w:rsidRDefault="00D83B8A">
            <w:pPr>
              <w:pStyle w:val="Tablebodyfirst"/>
            </w:pPr>
            <w:r>
              <w:t>S219.20(100%)</w:t>
            </w:r>
          </w:p>
        </w:tc>
        <w:tc>
          <w:tcPr>
            <w:tcW w:w="816" w:type="dxa"/>
            <w:tcBorders>
              <w:top w:val="single" w:sz="4" w:space="0" w:color="auto"/>
            </w:tcBorders>
          </w:tcPr>
          <w:p w14:paraId="774CD027" w14:textId="77777777" w:rsidR="00D83B8A" w:rsidRDefault="00D83B8A">
            <w:pPr>
              <w:pStyle w:val="Tablebodyfirst"/>
            </w:pPr>
            <w:r>
              <w:t>68m43s</w:t>
            </w:r>
          </w:p>
        </w:tc>
        <w:tc>
          <w:tcPr>
            <w:tcW w:w="1200" w:type="dxa"/>
            <w:tcBorders>
              <w:top w:val="single" w:sz="4" w:space="0" w:color="auto"/>
            </w:tcBorders>
          </w:tcPr>
          <w:p w14:paraId="58DA643F" w14:textId="77777777" w:rsidR="00D83B8A" w:rsidRDefault="00D83B8A">
            <w:pPr>
              <w:pStyle w:val="Tablebodyfirst"/>
            </w:pPr>
            <w:r>
              <w:t>1.00</w:t>
            </w:r>
          </w:p>
        </w:tc>
        <w:tc>
          <w:tcPr>
            <w:tcW w:w="416" w:type="dxa"/>
            <w:tcBorders>
              <w:top w:val="single" w:sz="4" w:space="0" w:color="auto"/>
            </w:tcBorders>
          </w:tcPr>
          <w:p w14:paraId="4D44BD4C" w14:textId="77777777" w:rsidR="00D83B8A" w:rsidRDefault="00D83B8A">
            <w:pPr>
              <w:pStyle w:val="Tablebodyfirst"/>
            </w:pPr>
            <w:r>
              <w:t>1.00</w:t>
            </w:r>
          </w:p>
        </w:tc>
      </w:tr>
      <w:tr w:rsidR="00D83B8A" w14:paraId="2588314B" w14:textId="77777777">
        <w:tc>
          <w:tcPr>
            <w:tcW w:w="740" w:type="dxa"/>
          </w:tcPr>
          <w:p w14:paraId="78E3424D" w14:textId="77777777" w:rsidR="00D83B8A" w:rsidRDefault="00D83B8A">
            <w:pPr>
              <w:pStyle w:val="Tablebody"/>
            </w:pPr>
            <w:r>
              <w:t xml:space="preserve">  2</w:t>
            </w:r>
          </w:p>
        </w:tc>
        <w:tc>
          <w:tcPr>
            <w:tcW w:w="1704" w:type="dxa"/>
          </w:tcPr>
          <w:p w14:paraId="417377F6"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05CDF91A" w14:textId="77777777" w:rsidR="00D83B8A" w:rsidRDefault="00D83B8A">
            <w:pPr>
              <w:pStyle w:val="Tablebody"/>
            </w:pPr>
            <w:r>
              <w:t>35m13s</w:t>
            </w:r>
          </w:p>
        </w:tc>
        <w:tc>
          <w:tcPr>
            <w:tcW w:w="1200" w:type="dxa"/>
          </w:tcPr>
          <w:p w14:paraId="49DA2107" w14:textId="77777777" w:rsidR="00D83B8A" w:rsidRDefault="00D83B8A">
            <w:pPr>
              <w:pStyle w:val="Tablebody"/>
            </w:pPr>
            <w:r>
              <w:t>2.00</w:t>
            </w:r>
          </w:p>
        </w:tc>
        <w:tc>
          <w:tcPr>
            <w:tcW w:w="416" w:type="dxa"/>
          </w:tcPr>
          <w:p w14:paraId="5031E76D" w14:textId="77777777" w:rsidR="00D83B8A" w:rsidRDefault="00D83B8A">
            <w:pPr>
              <w:pStyle w:val="Tablebody"/>
            </w:pPr>
            <w:r>
              <w:t>1.95</w:t>
            </w:r>
          </w:p>
        </w:tc>
      </w:tr>
      <w:tr w:rsidR="00D83B8A" w14:paraId="121A2CC7" w14:textId="77777777">
        <w:tc>
          <w:tcPr>
            <w:tcW w:w="740" w:type="dxa"/>
          </w:tcPr>
          <w:p w14:paraId="74D7C4E9" w14:textId="77777777" w:rsidR="00D83B8A" w:rsidRDefault="00D83B8A">
            <w:pPr>
              <w:pStyle w:val="Tablebody"/>
            </w:pPr>
            <w:r>
              <w:t xml:space="preserve">  4</w:t>
            </w:r>
          </w:p>
        </w:tc>
        <w:tc>
          <w:tcPr>
            <w:tcW w:w="1704" w:type="dxa"/>
          </w:tcPr>
          <w:p w14:paraId="14AA2777" w14:textId="77777777" w:rsidR="00D83B8A" w:rsidRDefault="00D83B8A">
            <w:pPr>
              <w:pStyle w:val="Tablebody"/>
            </w:pPr>
            <w:r>
              <w:t>2</w:t>
            </w:r>
            <w:r>
              <w:rPr>
                <w:vertAlign w:val="superscript"/>
              </w:rPr>
              <w:t>19</w:t>
            </w:r>
            <w:r>
              <w:t>.20(100%)</w:t>
            </w:r>
          </w:p>
        </w:tc>
        <w:tc>
          <w:tcPr>
            <w:tcW w:w="816" w:type="dxa"/>
          </w:tcPr>
          <w:p w14:paraId="5EB8CDC8" w14:textId="77777777" w:rsidR="00D83B8A" w:rsidRDefault="00D83B8A">
            <w:pPr>
              <w:pStyle w:val="Tablebody"/>
            </w:pPr>
            <w:r>
              <w:t>68m43s</w:t>
            </w:r>
          </w:p>
        </w:tc>
        <w:tc>
          <w:tcPr>
            <w:tcW w:w="1200" w:type="dxa"/>
          </w:tcPr>
          <w:p w14:paraId="72BB4B6B" w14:textId="77777777" w:rsidR="00D83B8A" w:rsidRDefault="00D83B8A">
            <w:pPr>
              <w:pStyle w:val="Tablebody"/>
            </w:pPr>
            <w:r>
              <w:t>1.00</w:t>
            </w:r>
          </w:p>
        </w:tc>
        <w:tc>
          <w:tcPr>
            <w:tcW w:w="416" w:type="dxa"/>
          </w:tcPr>
          <w:p w14:paraId="164938F1" w14:textId="77777777" w:rsidR="00D83B8A" w:rsidRDefault="00D83B8A">
            <w:pPr>
              <w:pStyle w:val="Tablebody"/>
            </w:pPr>
            <w:r>
              <w:t>1.00</w:t>
            </w:r>
          </w:p>
        </w:tc>
      </w:tr>
      <w:tr w:rsidR="00D83B8A" w14:paraId="206741A7" w14:textId="77777777">
        <w:tc>
          <w:tcPr>
            <w:tcW w:w="740" w:type="dxa"/>
          </w:tcPr>
          <w:p w14:paraId="11347CC0" w14:textId="77777777" w:rsidR="00D83B8A" w:rsidRDefault="00D83B8A">
            <w:pPr>
              <w:pStyle w:val="Tablebody"/>
            </w:pPr>
            <w:r>
              <w:t>10</w:t>
            </w:r>
          </w:p>
        </w:tc>
        <w:tc>
          <w:tcPr>
            <w:tcW w:w="1704" w:type="dxa"/>
          </w:tcPr>
          <w:p w14:paraId="25A29CE8"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6A6A2ADF" w14:textId="77777777" w:rsidR="00D83B8A" w:rsidRDefault="00D83B8A">
            <w:pPr>
              <w:pStyle w:val="Tablebody"/>
            </w:pPr>
            <w:r>
              <w:t>35m13s</w:t>
            </w:r>
          </w:p>
        </w:tc>
        <w:tc>
          <w:tcPr>
            <w:tcW w:w="1200" w:type="dxa"/>
          </w:tcPr>
          <w:p w14:paraId="05FBAEDE" w14:textId="77777777" w:rsidR="00D83B8A" w:rsidRDefault="00D83B8A">
            <w:pPr>
              <w:pStyle w:val="Tablebody"/>
            </w:pPr>
            <w:r>
              <w:t>2.00</w:t>
            </w:r>
          </w:p>
        </w:tc>
        <w:tc>
          <w:tcPr>
            <w:tcW w:w="416" w:type="dxa"/>
          </w:tcPr>
          <w:p w14:paraId="237025CF" w14:textId="77777777" w:rsidR="00D83B8A" w:rsidRDefault="00D83B8A">
            <w:pPr>
              <w:pStyle w:val="Tablebody"/>
            </w:pPr>
            <w:r>
              <w:t>1.95</w:t>
            </w:r>
          </w:p>
        </w:tc>
      </w:tr>
      <w:tr w:rsidR="00D83B8A" w14:paraId="0493DB92" w14:textId="77777777">
        <w:tc>
          <w:tcPr>
            <w:tcW w:w="740" w:type="dxa"/>
            <w:tcBorders>
              <w:bottom w:val="single" w:sz="4" w:space="0" w:color="auto"/>
            </w:tcBorders>
          </w:tcPr>
          <w:p w14:paraId="344E7A23" w14:textId="77777777" w:rsidR="00D83B8A" w:rsidRDefault="00D83B8A">
            <w:pPr>
              <w:pStyle w:val="Tablebodylast"/>
            </w:pPr>
            <w:r>
              <w:t>20</w:t>
            </w:r>
          </w:p>
        </w:tc>
        <w:tc>
          <w:tcPr>
            <w:tcW w:w="1704" w:type="dxa"/>
            <w:tcBorders>
              <w:bottom w:val="single" w:sz="4" w:space="0" w:color="auto"/>
            </w:tcBorders>
          </w:tcPr>
          <w:p w14:paraId="41B05BB8" w14:textId="77777777" w:rsidR="00D83B8A" w:rsidRDefault="00D83B8A">
            <w:pPr>
              <w:pStyle w:val="Tablebodylast"/>
            </w:pPr>
            <w:r>
              <w:t>2</w:t>
            </w:r>
            <w:r>
              <w:rPr>
                <w:vertAlign w:val="superscript"/>
              </w:rPr>
              <w:t>19</w:t>
            </w:r>
            <w:r>
              <w:t>.20(100%)</w:t>
            </w:r>
          </w:p>
        </w:tc>
        <w:tc>
          <w:tcPr>
            <w:tcW w:w="816" w:type="dxa"/>
            <w:tcBorders>
              <w:bottom w:val="single" w:sz="4" w:space="0" w:color="auto"/>
            </w:tcBorders>
          </w:tcPr>
          <w:p w14:paraId="25BB74DE" w14:textId="77777777" w:rsidR="00D83B8A" w:rsidRDefault="00D83B8A">
            <w:pPr>
              <w:pStyle w:val="Tablebodylast"/>
            </w:pPr>
            <w:r>
              <w:t>68m43s</w:t>
            </w:r>
          </w:p>
        </w:tc>
        <w:tc>
          <w:tcPr>
            <w:tcW w:w="1200" w:type="dxa"/>
            <w:tcBorders>
              <w:bottom w:val="single" w:sz="4" w:space="0" w:color="auto"/>
            </w:tcBorders>
          </w:tcPr>
          <w:p w14:paraId="237F2604" w14:textId="77777777" w:rsidR="00D83B8A" w:rsidRDefault="00D83B8A">
            <w:pPr>
              <w:pStyle w:val="Tablebodylast"/>
            </w:pPr>
            <w:r>
              <w:t>1.00</w:t>
            </w:r>
          </w:p>
        </w:tc>
        <w:tc>
          <w:tcPr>
            <w:tcW w:w="416" w:type="dxa"/>
            <w:tcBorders>
              <w:bottom w:val="single" w:sz="4" w:space="0" w:color="auto"/>
            </w:tcBorders>
          </w:tcPr>
          <w:p w14:paraId="5FE23839" w14:textId="77777777" w:rsidR="00D83B8A" w:rsidRDefault="00D83B8A">
            <w:pPr>
              <w:pStyle w:val="Tablebodylast"/>
            </w:pPr>
            <w:r>
              <w:t>9.5</w:t>
            </w:r>
          </w:p>
        </w:tc>
      </w:tr>
    </w:tbl>
    <w:p w14:paraId="375B22FE" w14:textId="77777777" w:rsidR="00D83B8A" w:rsidRDefault="00D83B8A">
      <w:pPr>
        <w:pStyle w:val="Tablefootnote"/>
        <w:spacing w:after="140"/>
      </w:pPr>
      <w:r>
        <w:t>This is table foot note sample text This is table foot note sample text This is table foot note sample text</w:t>
      </w:r>
    </w:p>
    <w:p w14:paraId="3E5A3188" w14:textId="77777777" w:rsidR="00D83B8A" w:rsidRPr="00366351" w:rsidRDefault="00D83B8A">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w:t>
      </w:r>
    </w:p>
    <w:p w14:paraId="252AFE48" w14:textId="77777777" w:rsidR="001A5509" w:rsidRDefault="00643190" w:rsidP="001A0125">
      <w:pPr>
        <w:pStyle w:val="AckHead"/>
      </w:pPr>
      <w:r>
        <w:t>A</w:t>
      </w:r>
      <w:r w:rsidR="001A5509">
        <w:t>cknowledgements</w:t>
      </w:r>
    </w:p>
    <w:p w14:paraId="7D69DBC1" w14:textId="77777777" w:rsidR="00D83B8A" w:rsidRPr="00366351" w:rsidRDefault="00D83B8A">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612085E1" w14:textId="77777777" w:rsidR="00366351" w:rsidRPr="00366351" w:rsidRDefault="00CD55D8" w:rsidP="001A0125">
      <w:pPr>
        <w:pStyle w:val="RefHead"/>
        <w:rPr>
          <w:caps/>
        </w:rPr>
      </w:pPr>
      <w:r w:rsidRPr="00366351">
        <w:t>Funding</w:t>
      </w:r>
    </w:p>
    <w:p w14:paraId="37BCF1DD" w14:textId="77777777"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14:paraId="66977F0E" w14:textId="77777777" w:rsidR="005806E7" w:rsidRDefault="005806E7" w:rsidP="00CD55D8">
      <w:pPr>
        <w:pStyle w:val="AckText"/>
        <w:rPr>
          <w:rFonts w:ascii="AdvPSSAB-R" w:hAnsi="AdvPSSAB-R" w:cs="AdvPSSAB-R"/>
          <w:sz w:val="14"/>
          <w:szCs w:val="14"/>
          <w:lang w:val="en-GB" w:eastAsia="en-IN"/>
        </w:rPr>
      </w:pPr>
    </w:p>
    <w:p w14:paraId="5CF218C5"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4EAD31DB" w14:textId="77777777" w:rsidR="00D83B8A" w:rsidRPr="00366351" w:rsidRDefault="00366351" w:rsidP="001A0125">
      <w:pPr>
        <w:pStyle w:val="RefHead"/>
      </w:pPr>
      <w:r w:rsidRPr="00366351">
        <w:t>References</w:t>
      </w:r>
    </w:p>
    <w:p w14:paraId="655E74CD" w14:textId="77777777" w:rsidR="00D83B8A" w:rsidRPr="00366351" w:rsidRDefault="00D83B8A">
      <w:pPr>
        <w:pStyle w:val="RefText"/>
        <w:rPr>
          <w:szCs w:val="14"/>
        </w:rPr>
      </w:pPr>
      <w:r w:rsidRPr="00366351">
        <w:rPr>
          <w:szCs w:val="14"/>
        </w:rPr>
        <w:t>Alexandrescu,A. (2001) Modern C++ Design: Generic Programming and Design Patterens Applied. Addision Wesley Professional, Boston.</w:t>
      </w:r>
    </w:p>
    <w:p w14:paraId="73B3B8EE" w14:textId="77777777"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14:paraId="50CA8835" w14:textId="77777777"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14:paraId="04D83BF0" w14:textId="77777777"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14:paraId="76802221" w14:textId="77777777"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14:paraId="2CAA31D1" w14:textId="77777777" w:rsidR="00D83B8A" w:rsidRPr="00366351" w:rsidRDefault="00D83B8A" w:rsidP="0001213C">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14:paraId="1845F313" w14:textId="77777777" w:rsidR="0001213C" w:rsidRPr="00366351" w:rsidRDefault="0001213C" w:rsidP="0001213C">
      <w:pPr>
        <w:pStyle w:val="RefText"/>
        <w:rPr>
          <w:szCs w:val="14"/>
        </w:rPr>
      </w:pPr>
      <w:r w:rsidRPr="00366351">
        <w:rPr>
          <w:szCs w:val="14"/>
        </w:rPr>
        <w:t xml:space="preserve">Yoo,M.S. </w:t>
      </w:r>
      <w:r w:rsidRPr="00366351">
        <w:rPr>
          <w:i/>
          <w:iCs/>
          <w:szCs w:val="14"/>
        </w:rPr>
        <w:t>et al</w:t>
      </w:r>
      <w:r w:rsidRPr="00366351">
        <w:rPr>
          <w:szCs w:val="14"/>
        </w:rPr>
        <w:t xml:space="preserve">. (2003) Oxidative stress regulated genes in nigral dopaminergic neurnol cell: correlation with the known pathology in Parkinson’s disease. </w:t>
      </w:r>
      <w:r w:rsidRPr="00366351">
        <w:rPr>
          <w:i/>
          <w:iCs/>
          <w:szCs w:val="14"/>
        </w:rPr>
        <w:t>Brain Res. Mol. Brain Res.</w:t>
      </w:r>
      <w:r w:rsidRPr="00366351">
        <w:rPr>
          <w:szCs w:val="14"/>
        </w:rPr>
        <w:t xml:space="preserve">, </w:t>
      </w:r>
      <w:r w:rsidRPr="00366351">
        <w:rPr>
          <w:b/>
          <w:bCs/>
          <w:szCs w:val="14"/>
        </w:rPr>
        <w:t>110</w:t>
      </w:r>
      <w:r w:rsidRPr="00366351">
        <w:rPr>
          <w:szCs w:val="14"/>
        </w:rPr>
        <w:t>(Suppl. 1), 76–84.</w:t>
      </w:r>
    </w:p>
    <w:p w14:paraId="4E8AD2B4" w14:textId="77777777" w:rsidR="00544ED1" w:rsidRPr="00366351" w:rsidRDefault="0001213C" w:rsidP="00544ED1">
      <w:pPr>
        <w:pStyle w:val="RefText"/>
        <w:rPr>
          <w:szCs w:val="14"/>
        </w:rPr>
      </w:pPr>
      <w:r w:rsidRPr="00366351">
        <w:rPr>
          <w:szCs w:val="14"/>
        </w:rPr>
        <w:t xml:space="preserve">Crenshaw, B.,III, and Jones, W.B.,Jr (2003) The future of clinical cancer management: one tumor, one chip. </w:t>
      </w:r>
      <w:r w:rsidRPr="00366351">
        <w:rPr>
          <w:i/>
          <w:szCs w:val="14"/>
        </w:rPr>
        <w:t>Bioinformatics</w:t>
      </w:r>
      <w:r w:rsidRPr="00366351">
        <w:rPr>
          <w:szCs w:val="14"/>
        </w:rPr>
        <w:t>, doi</w:t>
      </w:r>
      <w:r w:rsidR="00544ED1" w:rsidRPr="00366351">
        <w:rPr>
          <w:szCs w:val="14"/>
        </w:rPr>
        <w:t>:10.1093/bioinformatics/btn000.</w:t>
      </w:r>
    </w:p>
    <w:p w14:paraId="3EC22313" w14:textId="77777777" w:rsidR="0001213C" w:rsidRPr="00366351" w:rsidRDefault="0001213C" w:rsidP="00544ED1">
      <w:pPr>
        <w:pStyle w:val="RefText"/>
        <w:rPr>
          <w:szCs w:val="14"/>
        </w:rPr>
      </w:pPr>
      <w:r w:rsidRPr="00366351">
        <w:rPr>
          <w:szCs w:val="14"/>
        </w:rPr>
        <w:t xml:space="preserve">Auhtor,A.B. </w:t>
      </w:r>
      <w:r w:rsidRPr="00366351">
        <w:rPr>
          <w:i/>
          <w:szCs w:val="14"/>
        </w:rPr>
        <w:t>et al.</w:t>
      </w:r>
      <w:r w:rsidRPr="00366351">
        <w:rPr>
          <w:szCs w:val="14"/>
        </w:rPr>
        <w:t xml:space="preserve"> (2000) Chapter title. In Smith, A.C. (ed.), </w:t>
      </w:r>
      <w:r w:rsidRPr="00366351">
        <w:rPr>
          <w:i/>
          <w:szCs w:val="14"/>
        </w:rPr>
        <w:t>Book Title</w:t>
      </w:r>
      <w:r w:rsidRPr="00366351">
        <w:rPr>
          <w:szCs w:val="14"/>
        </w:rPr>
        <w:t>, 2nd edn.</w:t>
      </w:r>
      <w:r w:rsidR="00544ED1" w:rsidRPr="00366351">
        <w:rPr>
          <w:szCs w:val="14"/>
        </w:rPr>
        <w:t xml:space="preserve"> </w:t>
      </w:r>
      <w:r w:rsidRPr="00366351">
        <w:rPr>
          <w:szCs w:val="14"/>
        </w:rPr>
        <w:t>Publisher, Location, Vol. 1, pp. ???–???.</w:t>
      </w:r>
    </w:p>
    <w:p w14:paraId="38C86805" w14:textId="77777777" w:rsidR="00B7282B" w:rsidRDefault="0001213C" w:rsidP="004D7F41">
      <w:pPr>
        <w:pStyle w:val="RefText"/>
      </w:pPr>
      <w:r w:rsidRPr="00366351">
        <w:rPr>
          <w:szCs w:val="14"/>
        </w:rPr>
        <w:t>Bardet, G. (1920) Sur un syndrome d’obesite infantile avec polydactylie et retinite pigmentaire (contribution a l’etude des formes cliniques de l’obesite hypophysaire). PhD Thesis, name of institution, Paris, France.</w:t>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E1DFC" w14:textId="77777777" w:rsidR="00A53FF2" w:rsidRDefault="00A53FF2">
      <w:r>
        <w:separator/>
      </w:r>
    </w:p>
  </w:endnote>
  <w:endnote w:type="continuationSeparator" w:id="0">
    <w:p w14:paraId="0F5F27D2" w14:textId="77777777" w:rsidR="00A53FF2" w:rsidRDefault="00A53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Light">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20B0604020202020204"/>
    <w:charset w:val="00"/>
    <w:family w:val="swiss"/>
    <w:notTrueType/>
    <w:pitch w:val="default"/>
    <w:sig w:usb0="00000003" w:usb1="00000000" w:usb2="00000000" w:usb3="00000000" w:csb0="00000001" w:csb1="00000000"/>
  </w:font>
  <w:font w:name="AdvPS2A83">
    <w:altName w:val="Calibri"/>
    <w:panose1 w:val="020B0604020202020204"/>
    <w:charset w:val="00"/>
    <w:family w:val="swiss"/>
    <w:notTrueType/>
    <w:pitch w:val="default"/>
    <w:sig w:usb0="00000003" w:usb1="00000000" w:usb2="00000000" w:usb3="00000000" w:csb0="00000001" w:csb1="00000000"/>
  </w:font>
  <w:font w:name="AdvPS2A8F">
    <w:altName w:val="Calibri"/>
    <w:panose1 w:val="020B0604020202020204"/>
    <w:charset w:val="00"/>
    <w:family w:val="swiss"/>
    <w:notTrueType/>
    <w:pitch w:val="default"/>
    <w:sig w:usb0="00000003" w:usb1="00000000" w:usb2="00000000" w:usb3="00000000" w:csb0="00000001" w:csb1="00000000"/>
  </w:font>
  <w:font w:name="AdvPSSAB-R">
    <w:altName w:val="Cambria"/>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EFC52" w14:textId="77777777" w:rsidR="00A53FF2" w:rsidRDefault="00A53FF2">
      <w:pPr>
        <w:pStyle w:val="Footer"/>
        <w:tabs>
          <w:tab w:val="clear" w:pos="4320"/>
          <w:tab w:val="left" w:pos="4860"/>
        </w:tabs>
        <w:spacing w:line="200" w:lineRule="exact"/>
        <w:rPr>
          <w:u w:val="single" w:color="000000"/>
        </w:rPr>
      </w:pPr>
      <w:r>
        <w:rPr>
          <w:u w:val="single" w:color="000000"/>
        </w:rPr>
        <w:tab/>
      </w:r>
    </w:p>
  </w:footnote>
  <w:footnote w:type="continuationSeparator" w:id="0">
    <w:p w14:paraId="3B9C52BD" w14:textId="77777777" w:rsidR="00A53FF2" w:rsidRDefault="00A53FF2">
      <w:pPr>
        <w:pStyle w:val="FootnoteText"/>
        <w:rPr>
          <w:szCs w:val="24"/>
        </w:rPr>
      </w:pPr>
      <w:r>
        <w:continuationSeparator/>
      </w:r>
    </w:p>
  </w:footnote>
  <w:footnote w:type="continuationNotice" w:id="1">
    <w:p w14:paraId="791A2739" w14:textId="77777777" w:rsidR="00A53FF2" w:rsidRDefault="00A53FF2">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1A28D" w14:textId="77777777" w:rsidR="00DD38F7" w:rsidRDefault="000F5F12">
    <w:pPr>
      <w:pStyle w:val="Header"/>
      <w:spacing w:after="0"/>
    </w:pPr>
    <w:r>
      <w:rPr>
        <w:noProof/>
      </w:rPr>
      <mc:AlternateContent>
        <mc:Choice Requires="wps">
          <w:drawing>
            <wp:anchor distT="0" distB="0" distL="114300" distR="114300" simplePos="0" relativeHeight="251660288" behindDoc="0" locked="1" layoutInCell="1" allowOverlap="0" wp14:anchorId="2990C4AD" wp14:editId="31D5D7B2">
              <wp:simplePos x="0" y="0"/>
              <wp:positionH relativeFrom="column">
                <wp:posOffset>0</wp:posOffset>
              </wp:positionH>
              <wp:positionV relativeFrom="page">
                <wp:posOffset>655320</wp:posOffset>
              </wp:positionV>
              <wp:extent cx="640080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0D303"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" o:allowoverlap="f" strokeweight=".5pt">
              <o:lock v:ext="edit" shapetype="f"/>
              <w10:wrap anchory="page"/>
              <w10:anchorlock/>
            </v:line>
          </w:pict>
        </mc:Fallback>
      </mc:AlternateContent>
    </w:r>
    <w:r w:rsidR="00DD38F7">
      <w:t>K.Takahashi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47979" w14:textId="77777777"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1"/>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67"/>
    <w:rsid w:val="0001213C"/>
    <w:rsid w:val="00050B51"/>
    <w:rsid w:val="00063765"/>
    <w:rsid w:val="00083970"/>
    <w:rsid w:val="000E7919"/>
    <w:rsid w:val="000F5F12"/>
    <w:rsid w:val="00112539"/>
    <w:rsid w:val="00120FBC"/>
    <w:rsid w:val="00163472"/>
    <w:rsid w:val="00164CC5"/>
    <w:rsid w:val="00175E68"/>
    <w:rsid w:val="0019362B"/>
    <w:rsid w:val="001976C9"/>
    <w:rsid w:val="001A0125"/>
    <w:rsid w:val="001A5509"/>
    <w:rsid w:val="001C6AEE"/>
    <w:rsid w:val="001F25EC"/>
    <w:rsid w:val="002000FF"/>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770AB"/>
    <w:rsid w:val="00386DA0"/>
    <w:rsid w:val="003A4127"/>
    <w:rsid w:val="003A4458"/>
    <w:rsid w:val="003B3D09"/>
    <w:rsid w:val="003F0E1C"/>
    <w:rsid w:val="00400C63"/>
    <w:rsid w:val="00403998"/>
    <w:rsid w:val="00405022"/>
    <w:rsid w:val="00417E33"/>
    <w:rsid w:val="00423C6D"/>
    <w:rsid w:val="00435193"/>
    <w:rsid w:val="00452614"/>
    <w:rsid w:val="00454567"/>
    <w:rsid w:val="00473EDA"/>
    <w:rsid w:val="004768E7"/>
    <w:rsid w:val="00486E58"/>
    <w:rsid w:val="004B43B9"/>
    <w:rsid w:val="004B658F"/>
    <w:rsid w:val="004D7F41"/>
    <w:rsid w:val="004E0596"/>
    <w:rsid w:val="004E1218"/>
    <w:rsid w:val="004E13A5"/>
    <w:rsid w:val="004E44AC"/>
    <w:rsid w:val="00500307"/>
    <w:rsid w:val="00513FFC"/>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F5A2E"/>
    <w:rsid w:val="007013C2"/>
    <w:rsid w:val="0072388D"/>
    <w:rsid w:val="00776B59"/>
    <w:rsid w:val="00793C1E"/>
    <w:rsid w:val="00801742"/>
    <w:rsid w:val="00804467"/>
    <w:rsid w:val="00806CED"/>
    <w:rsid w:val="00820FD1"/>
    <w:rsid w:val="00853D6D"/>
    <w:rsid w:val="00887143"/>
    <w:rsid w:val="008A06DC"/>
    <w:rsid w:val="008A13D5"/>
    <w:rsid w:val="008A7380"/>
    <w:rsid w:val="008D555C"/>
    <w:rsid w:val="008E5030"/>
    <w:rsid w:val="00910953"/>
    <w:rsid w:val="00935C57"/>
    <w:rsid w:val="00943558"/>
    <w:rsid w:val="00952599"/>
    <w:rsid w:val="0095359B"/>
    <w:rsid w:val="009A3330"/>
    <w:rsid w:val="009D0B6E"/>
    <w:rsid w:val="009F05D6"/>
    <w:rsid w:val="00A12CAD"/>
    <w:rsid w:val="00A226FD"/>
    <w:rsid w:val="00A2522A"/>
    <w:rsid w:val="00A53FF2"/>
    <w:rsid w:val="00A5432A"/>
    <w:rsid w:val="00A55800"/>
    <w:rsid w:val="00A663DF"/>
    <w:rsid w:val="00A7074F"/>
    <w:rsid w:val="00A76CB0"/>
    <w:rsid w:val="00A818B3"/>
    <w:rsid w:val="00A93557"/>
    <w:rsid w:val="00AB08E4"/>
    <w:rsid w:val="00B37FFC"/>
    <w:rsid w:val="00B637BC"/>
    <w:rsid w:val="00B652DF"/>
    <w:rsid w:val="00B7282B"/>
    <w:rsid w:val="00B972B2"/>
    <w:rsid w:val="00BB69FA"/>
    <w:rsid w:val="00BE5EE2"/>
    <w:rsid w:val="00BF1AE1"/>
    <w:rsid w:val="00C4341F"/>
    <w:rsid w:val="00CC64E3"/>
    <w:rsid w:val="00CD1016"/>
    <w:rsid w:val="00CD1067"/>
    <w:rsid w:val="00CD55D8"/>
    <w:rsid w:val="00CF605A"/>
    <w:rsid w:val="00D20FD2"/>
    <w:rsid w:val="00D65C51"/>
    <w:rsid w:val="00D83B8A"/>
    <w:rsid w:val="00DA7E18"/>
    <w:rsid w:val="00DC2DCC"/>
    <w:rsid w:val="00DC5078"/>
    <w:rsid w:val="00DC5EDA"/>
    <w:rsid w:val="00DD38F7"/>
    <w:rsid w:val="00DE4985"/>
    <w:rsid w:val="00E678D9"/>
    <w:rsid w:val="00E678E8"/>
    <w:rsid w:val="00EB2D45"/>
    <w:rsid w:val="00EC5ED4"/>
    <w:rsid w:val="00EE1FE6"/>
    <w:rsid w:val="00EF5D71"/>
    <w:rsid w:val="00F137B5"/>
    <w:rsid w:val="00F362A7"/>
    <w:rsid w:val="00F4766C"/>
    <w:rsid w:val="00FC40EC"/>
    <w:rsid w:val="00FD09A4"/>
    <w:rsid w:val="00FD5375"/>
    <w:rsid w:val="00FE2CDB"/>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2F106B"/>
  <w15:docId w15:val="{D5A0C7F2-1373-9D4F-8134-0A4F1884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81040">
      <w:bodyDiv w:val="1"/>
      <w:marLeft w:val="0"/>
      <w:marRight w:val="0"/>
      <w:marTop w:val="0"/>
      <w:marBottom w:val="0"/>
      <w:divBdr>
        <w:top w:val="none" w:sz="0" w:space="0" w:color="auto"/>
        <w:left w:val="none" w:sz="0" w:space="0" w:color="auto"/>
        <w:bottom w:val="none" w:sz="0" w:space="0" w:color="auto"/>
        <w:right w:val="none" w:sz="0" w:space="0" w:color="auto"/>
      </w:divBdr>
    </w:div>
    <w:div w:id="218830831">
      <w:bodyDiv w:val="1"/>
      <w:marLeft w:val="0"/>
      <w:marRight w:val="0"/>
      <w:marTop w:val="0"/>
      <w:marBottom w:val="0"/>
      <w:divBdr>
        <w:top w:val="none" w:sz="0" w:space="0" w:color="auto"/>
        <w:left w:val="none" w:sz="0" w:space="0" w:color="auto"/>
        <w:bottom w:val="none" w:sz="0" w:space="0" w:color="auto"/>
        <w:right w:val="none" w:sz="0" w:space="0" w:color="auto"/>
      </w:divBdr>
    </w:div>
    <w:div w:id="636493382">
      <w:bodyDiv w:val="1"/>
      <w:marLeft w:val="0"/>
      <w:marRight w:val="0"/>
      <w:marTop w:val="0"/>
      <w:marBottom w:val="0"/>
      <w:divBdr>
        <w:top w:val="none" w:sz="0" w:space="0" w:color="auto"/>
        <w:left w:val="none" w:sz="0" w:space="0" w:color="auto"/>
        <w:bottom w:val="none" w:sz="0" w:space="0" w:color="auto"/>
        <w:right w:val="none" w:sz="0" w:space="0" w:color="auto"/>
      </w:divBdr>
    </w:div>
    <w:div w:id="658388019">
      <w:bodyDiv w:val="1"/>
      <w:marLeft w:val="0"/>
      <w:marRight w:val="0"/>
      <w:marTop w:val="0"/>
      <w:marBottom w:val="0"/>
      <w:divBdr>
        <w:top w:val="none" w:sz="0" w:space="0" w:color="auto"/>
        <w:left w:val="none" w:sz="0" w:space="0" w:color="auto"/>
        <w:bottom w:val="none" w:sz="0" w:space="0" w:color="auto"/>
        <w:right w:val="none" w:sz="0" w:space="0" w:color="auto"/>
      </w:divBdr>
    </w:div>
    <w:div w:id="835535349">
      <w:bodyDiv w:val="1"/>
      <w:marLeft w:val="0"/>
      <w:marRight w:val="0"/>
      <w:marTop w:val="0"/>
      <w:marBottom w:val="0"/>
      <w:divBdr>
        <w:top w:val="none" w:sz="0" w:space="0" w:color="auto"/>
        <w:left w:val="none" w:sz="0" w:space="0" w:color="auto"/>
        <w:bottom w:val="none" w:sz="0" w:space="0" w:color="auto"/>
        <w:right w:val="none" w:sz="0" w:space="0" w:color="auto"/>
      </w:divBdr>
    </w:div>
    <w:div w:id="884948425">
      <w:bodyDiv w:val="1"/>
      <w:marLeft w:val="0"/>
      <w:marRight w:val="0"/>
      <w:marTop w:val="0"/>
      <w:marBottom w:val="0"/>
      <w:divBdr>
        <w:top w:val="none" w:sz="0" w:space="0" w:color="auto"/>
        <w:left w:val="none" w:sz="0" w:space="0" w:color="auto"/>
        <w:bottom w:val="none" w:sz="0" w:space="0" w:color="auto"/>
        <w:right w:val="none" w:sz="0" w:space="0" w:color="auto"/>
      </w:divBdr>
    </w:div>
    <w:div w:id="913199147">
      <w:bodyDiv w:val="1"/>
      <w:marLeft w:val="0"/>
      <w:marRight w:val="0"/>
      <w:marTop w:val="0"/>
      <w:marBottom w:val="0"/>
      <w:divBdr>
        <w:top w:val="none" w:sz="0" w:space="0" w:color="auto"/>
        <w:left w:val="none" w:sz="0" w:space="0" w:color="auto"/>
        <w:bottom w:val="none" w:sz="0" w:space="0" w:color="auto"/>
        <w:right w:val="none" w:sz="0" w:space="0" w:color="auto"/>
      </w:divBdr>
    </w:div>
    <w:div w:id="1212695283">
      <w:bodyDiv w:val="1"/>
      <w:marLeft w:val="0"/>
      <w:marRight w:val="0"/>
      <w:marTop w:val="0"/>
      <w:marBottom w:val="0"/>
      <w:divBdr>
        <w:top w:val="none" w:sz="0" w:space="0" w:color="auto"/>
        <w:left w:val="none" w:sz="0" w:space="0" w:color="auto"/>
        <w:bottom w:val="none" w:sz="0" w:space="0" w:color="auto"/>
        <w:right w:val="none" w:sz="0" w:space="0" w:color="auto"/>
      </w:divBdr>
    </w:div>
    <w:div w:id="1408727795">
      <w:bodyDiv w:val="1"/>
      <w:marLeft w:val="0"/>
      <w:marRight w:val="0"/>
      <w:marTop w:val="0"/>
      <w:marBottom w:val="0"/>
      <w:divBdr>
        <w:top w:val="none" w:sz="0" w:space="0" w:color="auto"/>
        <w:left w:val="none" w:sz="0" w:space="0" w:color="auto"/>
        <w:bottom w:val="none" w:sz="0" w:space="0" w:color="auto"/>
        <w:right w:val="none" w:sz="0" w:space="0" w:color="auto"/>
      </w:divBdr>
    </w:div>
    <w:div w:id="1947157164">
      <w:bodyDiv w:val="1"/>
      <w:marLeft w:val="0"/>
      <w:marRight w:val="0"/>
      <w:marTop w:val="0"/>
      <w:marBottom w:val="0"/>
      <w:divBdr>
        <w:top w:val="none" w:sz="0" w:space="0" w:color="auto"/>
        <w:left w:val="none" w:sz="0" w:space="0" w:color="auto"/>
        <w:bottom w:val="none" w:sz="0" w:space="0" w:color="auto"/>
        <w:right w:val="none" w:sz="0" w:space="0" w:color="auto"/>
      </w:divBdr>
    </w:div>
    <w:div w:id="195639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enxt/github/metID/manuscript/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309C4-F897-4CD4-A074-FC09B71A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5</TotalTime>
  <Pages>2</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Xiaotao Shen</dc:creator>
  <cp:lastModifiedBy>Xiaotao Shen</cp:lastModifiedBy>
  <cp:revision>25</cp:revision>
  <cp:lastPrinted>2007-07-04T12:14:00Z</cp:lastPrinted>
  <dcterms:created xsi:type="dcterms:W3CDTF">2021-03-09T19:53:00Z</dcterms:created>
  <dcterms:modified xsi:type="dcterms:W3CDTF">2021-03-09T19:58:00Z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