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jc w:val="center"/>
      </w:pPr>
      <w:r>
        <w:rPr>
          <w:b/>
          <w:bCs/>
          <w:color w:val="1F3864"/>
          <w:sz w:val="36"/>
          <w:szCs w:val="36"/>
        </w:rPr>
        <w:t xml:space="preserve">SunoSathi — Go-to-Ecosystem &amp; Funding Strategy</w:t>
      </w:r>
    </w:p>
    <w:p>
      <w:pPr>
        <w:spacing w:after="300"/>
        <w:jc w:val="center"/>
      </w:pPr>
      <w:r>
        <w:rPr>
          <w:i/>
          <w:iCs/>
          <w:color w:val="555555"/>
          <w:sz w:val="20"/>
          <w:szCs w:val="20"/>
        </w:rPr>
        <w:t xml:space="preserve">Consultant report for Tejas Langalia · July 2026 · Live call-captioning for deaf, hard-of-hearing and elderly users (Hindi / Gujarati / English)</w:t>
      </w:r>
    </w:p>
    <w:p>
      <w:pPr>
        <w:pStyle w:val="Heading1"/>
        <w:spacing w:after="120" w:before="280"/>
      </w:pPr>
      <w:r>
        <w:rPr>
          <w:b/>
          <w:bCs/>
          <w:color w:val="1F3864"/>
          <w:sz w:val="28"/>
          <w:szCs w:val="28"/>
        </w:rPr>
        <w:t xml:space="preserve">1. Executive Summary</w:t>
      </w:r>
    </w:p>
    <w:p>
      <w:pPr>
        <w:spacing w:after="120"/>
      </w:pPr>
      <w:r>
        <w:rPr>
          <w:sz w:val="21"/>
          <w:szCs w:val="21"/>
        </w:rPr>
        <w:t xml:space="preserve">SunoSathi is a working prototype that shows live captions of phone calls (Sarvam AI streaming STT in Hindi, Gujarati, English and Hinglish, with call bridging via Vobiz and short TTS voice prompts the user can play into the call). India has roughly 63 million people with significant hearing loss and no mandated captioned-telephone service like the US IP-CTS — TRAI's 2018 ICT-accessibility recommendations were never made binding. That regulatory gap is your pitch: SunoSathi does for India what a federally funded service does in the US, at Indian cost points.</w:t>
      </w:r>
    </w:p>
    <w:p>
      <w:pPr>
        <w:spacing w:after="120"/>
      </w:pPr>
      <w:r>
        <w:rPr>
          <w:sz w:val="21"/>
          <w:szCs w:val="21"/>
        </w:rPr>
        <w:t xml:space="preserve">Because you are an individual with no registered entity, the strategy has three tracks that can run in parallel: (1) apply now to the programs that accept individuals — NIDHI-PRAYAS (up to ₹10 lakh, DST), AssisTech Foundation's accelerator, Bhashini challenges; (2) secure one or two NGO pilots (Deaf Enabled Foundation Ahmedabad/Mumbai, HelpAge India, AYJNISHD) to generate evidence and credibility; (3) incorporate a Pvt Ltd within ~3–6 months to unlock DPIIT recognition, the Startup India Seed Fund (₹20 lakh grant + ₹50 lakh convertible), Social Alpha/SBI Techtonic (up to ₹50 lakh) and CSR-linked programs. Do not chase CSR money directly as an individual — Section 135 CSR must flow to registered implementing agencies; you reach it through partners like Social Alpha, ATF and NCPEDP–Mphasis.</w:t>
      </w:r>
    </w:p>
    <w:p>
      <w:pPr>
        <w:pStyle w:val="Heading1"/>
        <w:spacing w:after="120" w:before="280"/>
      </w:pPr>
      <w:r>
        <w:rPr>
          <w:b/>
          <w:bCs/>
          <w:color w:val="1F3864"/>
          <w:sz w:val="28"/>
          <w:szCs w:val="28"/>
        </w:rPr>
        <w:t xml:space="preserve">2. Positioning</w:t>
      </w:r>
    </w:p>
    <w:p>
      <w:pPr>
        <w:spacing w:after="120"/>
      </w:pPr>
      <w:r>
        <w:rPr>
          <w:sz w:val="21"/>
          <w:szCs w:val="21"/>
        </w:rPr>
        <w:t xml:space="preserve">Lead with deaf and hard-of-hearing accessibility (a recognised disability under the RPWD Act 2016, Sec 42 of which mandates accessible ICT — your policy hook), with elderly users with age-related hearing loss as the second beneficiary and the larger market. One caution from the field: much of India's organised Deaf community is ISL-first (sign language), so captions best serve late-deafened, hard-of-hearing and elderly users who are literate in Hindi/Gujarati/English. Frame the product that way — it makes your pitch more credible with Deaf organisations, not less.</w:t>
      </w:r>
    </w:p>
    <w:p>
      <w:pPr>
        <w:spacing w:after="120"/>
      </w:pPr>
      <w:r>
        <w:rPr>
          <w:sz w:val="21"/>
          <w:szCs w:val="21"/>
        </w:rPr>
        <w:t xml:space="preserve">Three pitch framings to reuse: (a) Accessibility/rights — 'India has no captioned-telephone service; SunoSathi fills the gap TRAI identified in 2018'; (b) Bharat-language AI — a flagship social use of Indian ASR (Sarvam today; adding Bhashini's free APIs alongside would strengthen every government pitch); (c) Ageing India — 150M+ people over 60, most hearing loss uncorrected, phone calls are their lifeline to family, banks and doctors.</w:t>
      </w:r>
    </w:p>
    <w:p>
      <w:pPr>
        <w:pStyle w:val="Heading1"/>
        <w:spacing w:after="120" w:before="280"/>
      </w:pPr>
      <w:r>
        <w:rPr>
          <w:b/>
          <w:bCs/>
          <w:color w:val="1F3864"/>
          <w:sz w:val="28"/>
          <w:szCs w:val="28"/>
        </w:rPr>
        <w:t xml:space="preserve">3. Structure: what to incorporate, and when</w:t>
      </w:r>
    </w:p>
    <w:p>
      <w:pPr>
        <w:pStyle w:val="ListParagraph"/>
        <w:numPr>
          <w:ilvl w:val="0"/>
          <w:numId w:val="2"/>
        </w:numPr>
        <w:spacing w:after="80"/>
      </w:pPr>
      <w:r>
        <w:rPr>
          <w:b/>
          <w:bCs/>
          <w:sz w:val="21"/>
          <w:szCs w:val="21"/>
        </w:rPr>
        <w:t xml:space="preserve">Now (₹0): </w:t>
      </w:r>
      <w:r>
        <w:rPr>
          <w:sz w:val="21"/>
          <w:szCs w:val="21"/>
        </w:rPr>
        <w:t xml:space="preserve">apply as an individual to NIDHI-PRAYAS, NIDHI-EIR, ATF Enable and Bhashini challenges — none require a company.</w:t>
      </w:r>
    </w:p>
    <w:p>
      <w:pPr>
        <w:pStyle w:val="ListParagraph"/>
        <w:numPr>
          <w:ilvl w:val="0"/>
          <w:numId w:val="2"/>
        </w:numPr>
        <w:spacing w:after="80"/>
      </w:pPr>
      <w:r>
        <w:rPr>
          <w:b/>
          <w:bCs/>
          <w:sz w:val="21"/>
          <w:szCs w:val="21"/>
        </w:rPr>
        <w:t xml:space="preserve">Within 3–6 months (~₹6–8k via SPICe+): </w:t>
      </w:r>
      <w:r>
        <w:rPr>
          <w:sz w:val="21"/>
          <w:szCs w:val="21"/>
        </w:rPr>
        <w:t xml:space="preserve">incorporate a Private Limited company and get DPIIT Startup recognition. This unlocks SISFS, SAMRIDH (later), most state schemes and incubator grants. SISFS requires the company to be under 2 years old at application, so incorporate when you are ready to use it, not before.</w:t>
      </w:r>
    </w:p>
    <w:p>
      <w:pPr>
        <w:pStyle w:val="ListParagraph"/>
        <w:numPr>
          <w:ilvl w:val="0"/>
          <w:numId w:val="2"/>
        </w:numPr>
        <w:spacing w:after="80"/>
      </w:pPr>
      <w:r>
        <w:rPr>
          <w:b/>
          <w:bCs/>
          <w:sz w:val="21"/>
          <w:szCs w:val="21"/>
        </w:rPr>
        <w:t xml:space="preserve">Section 8 / NGO route: </w:t>
      </w:r>
      <w:r>
        <w:rPr>
          <w:sz w:val="21"/>
          <w:szCs w:val="21"/>
        </w:rPr>
        <w:t xml:space="preserve">not recommended as your primary vehicle — it slows product decisions and blocks equity funding. Instead partner with existing NGOs who can receive CSR funds for pilots while your Pvt Ltd supplies the technology.</w:t>
      </w:r>
    </w:p>
    <w:p>
      <w:pPr>
        <w:pStyle w:val="Heading1"/>
        <w:spacing w:after="120" w:before="280"/>
      </w:pPr>
      <w:r>
        <w:rPr>
          <w:b/>
          <w:bCs/>
          <w:color w:val="1F3864"/>
          <w:sz w:val="28"/>
          <w:szCs w:val="28"/>
        </w:rPr>
        <w:t xml:space="preserve">4. Government schemes and grants</w:t>
      </w:r>
    </w:p>
    <w:p>
      <w:pPr>
        <w:pStyle w:val="Heading2"/>
        <w:spacing w:after="100" w:before="200"/>
      </w:pPr>
      <w:r>
        <w:rPr>
          <w:b/>
          <w:bCs/>
          <w:color w:val="2E5A88"/>
          <w:sz w:val="24"/>
          <w:szCs w:val="24"/>
        </w:rPr>
        <w:t xml:space="preserve">4.1 Open to you today (individual, prototype in hand)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700"/>
        <w:gridCol w:w="3060"/>
      </w:tblGrid>
      <w:tr>
        <w:tc>
          <w:tcPr>
            <w:tcW w:type="dxa" w:w="2600"/>
            <w:shd w:fill="D9E2F3" w:val="clear"/>
            <w:tcMar>
              <w:top w:type="dxa" w:w="60"/>
              <w:left w:type="dxa" w:w="100"/>
              <w:bottom w:type="dxa" w:w="60"/>
              <w:right w:type="dxa" w:w="100"/>
            </w:tcMar>
          </w:tcPr>
          <w:p>
            <w:r>
              <w:rPr>
                <w:b/>
                <w:bCs/>
                <w:sz w:val="19"/>
                <w:szCs w:val="19"/>
              </w:rPr>
              <w:t xml:space="preserve">Scheme</w:t>
            </w:r>
          </w:p>
        </w:tc>
        <w:tc>
          <w:tcPr>
            <w:tcW w:type="dxa" w:w="3700"/>
            <w:shd w:fill="D9E2F3" w:val="clear"/>
            <w:tcMar>
              <w:top w:type="dxa" w:w="60"/>
              <w:left w:type="dxa" w:w="100"/>
              <w:bottom w:type="dxa" w:w="60"/>
              <w:right w:type="dxa" w:w="100"/>
            </w:tcMar>
          </w:tcPr>
          <w:p>
            <w:r>
              <w:rPr>
                <w:b/>
                <w:bCs/>
                <w:sz w:val="19"/>
                <w:szCs w:val="19"/>
              </w:rPr>
              <w:t xml:space="preserve">What it offers</w:t>
            </w:r>
          </w:p>
        </w:tc>
        <w:tc>
          <w:tcPr>
            <w:tcW w:type="dxa" w:w="3060"/>
            <w:shd w:fill="D9E2F3" w:val="clear"/>
            <w:tcMar>
              <w:top w:type="dxa" w:w="60"/>
              <w:left w:type="dxa" w:w="100"/>
              <w:bottom w:type="dxa" w:w="60"/>
              <w:right w:type="dxa" w:w="100"/>
            </w:tcMar>
          </w:tcPr>
          <w:p>
            <w:r>
              <w:rPr>
                <w:b/>
                <w:bCs/>
                <w:sz w:val="19"/>
                <w:szCs w:val="19"/>
              </w:rPr>
              <w:t xml:space="preserve">How to apply</w:t>
            </w:r>
          </w:p>
        </w:tc>
      </w:tr>
      <w:tr>
        <w:tc>
          <w:tcPr>
            <w:tcW w:type="dxa" w:w="2600"/>
            <w:tcMar>
              <w:top w:type="dxa" w:w="60"/>
              <w:left w:type="dxa" w:w="100"/>
              <w:bottom w:type="dxa" w:w="60"/>
              <w:right w:type="dxa" w:w="100"/>
            </w:tcMar>
          </w:tcPr>
          <w:p>
            <w:r>
              <w:rPr>
                <w:b w:val="false"/>
                <w:bCs w:val="false"/>
                <w:sz w:val="19"/>
                <w:szCs w:val="19"/>
              </w:rPr>
              <w:t xml:space="preserve">NIDHI-PRAYAS (DST) — best immediate fit</w:t>
            </w:r>
          </w:p>
        </w:tc>
        <w:tc>
          <w:tcPr>
            <w:tcW w:type="dxa" w:w="3700"/>
            <w:tcMar>
              <w:top w:type="dxa" w:w="60"/>
              <w:left w:type="dxa" w:w="100"/>
              <w:bottom w:type="dxa" w:w="60"/>
              <w:right w:type="dxa" w:w="100"/>
            </w:tcMar>
          </w:tcPr>
          <w:p>
            <w:r>
              <w:rPr>
                <w:b w:val="false"/>
                <w:bCs w:val="false"/>
                <w:sz w:val="19"/>
                <w:szCs w:val="19"/>
              </w:rPr>
              <w:t xml:space="preserve">Grant up to ₹10 lakh for individual innovators to take a prototype to product; no company needed</w:t>
            </w:r>
          </w:p>
        </w:tc>
        <w:tc>
          <w:tcPr>
            <w:tcW w:type="dxa" w:w="3060"/>
            <w:tcMar>
              <w:top w:type="dxa" w:w="60"/>
              <w:left w:type="dxa" w:w="100"/>
              <w:bottom w:type="dxa" w:w="60"/>
              <w:right w:type="dxa" w:w="100"/>
            </w:tcMar>
          </w:tcPr>
          <w:p>
            <w:r>
              <w:rPr>
                <w:b w:val="false"/>
                <w:bCs w:val="false"/>
                <w:sz w:val="19"/>
                <w:szCs w:val="19"/>
              </w:rPr>
              <w:t xml:space="preserve">Via a PRAYAS Centre (TBI) open call — nidhi-prayas.org (e.g. SP-TBI Mumbai); pitch productization + field pilots</w:t>
            </w:r>
          </w:p>
        </w:tc>
      </w:tr>
      <w:tr>
        <w:tc>
          <w:tcPr>
            <w:tcW w:type="dxa" w:w="2600"/>
            <w:tcMar>
              <w:top w:type="dxa" w:w="60"/>
              <w:left w:type="dxa" w:w="100"/>
              <w:bottom w:type="dxa" w:w="60"/>
              <w:right w:type="dxa" w:w="100"/>
            </w:tcMar>
          </w:tcPr>
          <w:p>
            <w:r>
              <w:rPr>
                <w:b w:val="false"/>
                <w:bCs w:val="false"/>
                <w:sz w:val="19"/>
                <w:szCs w:val="19"/>
              </w:rPr>
              <w:t xml:space="preserve">NIDHI-EIR (DST)</w:t>
            </w:r>
          </w:p>
        </w:tc>
        <w:tc>
          <w:tcPr>
            <w:tcW w:type="dxa" w:w="3700"/>
            <w:tcMar>
              <w:top w:type="dxa" w:w="60"/>
              <w:left w:type="dxa" w:w="100"/>
              <w:bottom w:type="dxa" w:w="60"/>
              <w:right w:type="dxa" w:w="100"/>
            </w:tcMar>
          </w:tcPr>
          <w:p>
            <w:r>
              <w:rPr>
                <w:b w:val="false"/>
                <w:bCs w:val="false"/>
                <w:sz w:val="19"/>
                <w:szCs w:val="19"/>
              </w:rPr>
              <w:t xml:space="preserve">Fellowship ~₹30k/month up to 12 months for aspiring founders</w:t>
            </w:r>
          </w:p>
        </w:tc>
        <w:tc>
          <w:tcPr>
            <w:tcW w:type="dxa" w:w="3060"/>
            <w:tcMar>
              <w:top w:type="dxa" w:w="60"/>
              <w:left w:type="dxa" w:w="100"/>
              <w:bottom w:type="dxa" w:w="60"/>
              <w:right w:type="dxa" w:w="100"/>
            </w:tcMar>
          </w:tcPr>
          <w:p>
            <w:r>
              <w:rPr>
                <w:b w:val="false"/>
                <w:bCs w:val="false"/>
                <w:sz w:val="19"/>
                <w:szCs w:val="19"/>
              </w:rPr>
              <w:t xml:space="preserve">Same TBI network; call windows vary by centre</w:t>
            </w:r>
          </w:p>
        </w:tc>
      </w:tr>
      <w:tr>
        <w:tc>
          <w:tcPr>
            <w:tcW w:type="dxa" w:w="2600"/>
            <w:tcMar>
              <w:top w:type="dxa" w:w="60"/>
              <w:left w:type="dxa" w:w="100"/>
              <w:bottom w:type="dxa" w:w="60"/>
              <w:right w:type="dxa" w:w="100"/>
            </w:tcMar>
          </w:tcPr>
          <w:p>
            <w:r>
              <w:rPr>
                <w:b w:val="false"/>
                <w:bCs w:val="false"/>
                <w:sz w:val="19"/>
                <w:szCs w:val="19"/>
              </w:rPr>
              <w:t xml:space="preserve">Bhashini (MeitY) — Sahyogi startup program, Sprint, Startup Velocity challenges</w:t>
            </w:r>
          </w:p>
        </w:tc>
        <w:tc>
          <w:tcPr>
            <w:tcW w:type="dxa" w:w="3700"/>
            <w:tcMar>
              <w:top w:type="dxa" w:w="60"/>
              <w:left w:type="dxa" w:w="100"/>
              <w:bottom w:type="dxa" w:w="60"/>
              <w:right w:type="dxa" w:w="100"/>
            </w:tcMar>
          </w:tcPr>
          <w:p>
            <w:r>
              <w:rPr>
                <w:b w:val="false"/>
                <w:bCs w:val="false"/>
                <w:sz w:val="19"/>
                <w:szCs w:val="19"/>
              </w:rPr>
              <w:t xml:space="preserve">Cash prizes, free Bhashini ASR/TTS API access, mentorship, government visibility</w:t>
            </w:r>
          </w:p>
        </w:tc>
        <w:tc>
          <w:tcPr>
            <w:tcW w:type="dxa" w:w="3060"/>
            <w:tcMar>
              <w:top w:type="dxa" w:w="60"/>
              <w:left w:type="dxa" w:w="100"/>
              <w:bottom w:type="dxa" w:w="60"/>
              <w:right w:type="dxa" w:w="100"/>
            </w:tcMar>
          </w:tcPr>
          <w:p>
            <w:r>
              <w:rPr>
                <w:b w:val="false"/>
                <w:bCs w:val="false"/>
                <w:sz w:val="19"/>
                <w:szCs w:val="19"/>
              </w:rPr>
              <w:t xml:space="preserve">bhashini.gov.in/sahyogi and innovateindia.mygov.in — check for the current round; integrate Bhashini APIs before pitching</w:t>
            </w:r>
          </w:p>
        </w:tc>
      </w:tr>
      <w:tr>
        <w:tc>
          <w:tcPr>
            <w:tcW w:type="dxa" w:w="2600"/>
            <w:tcMar>
              <w:top w:type="dxa" w:w="60"/>
              <w:left w:type="dxa" w:w="100"/>
              <w:bottom w:type="dxa" w:w="60"/>
              <w:right w:type="dxa" w:w="100"/>
            </w:tcMar>
          </w:tcPr>
          <w:p>
            <w:r>
              <w:rPr>
                <w:b w:val="false"/>
                <w:bCs w:val="false"/>
                <w:sz w:val="19"/>
                <w:szCs w:val="19"/>
              </w:rPr>
              <w:t xml:space="preserve">TIDE 2.0 (MeitY) EIR track</w:t>
            </w:r>
          </w:p>
        </w:tc>
        <w:tc>
          <w:tcPr>
            <w:tcW w:type="dxa" w:w="3700"/>
            <w:tcMar>
              <w:top w:type="dxa" w:w="60"/>
              <w:left w:type="dxa" w:w="100"/>
              <w:bottom w:type="dxa" w:w="60"/>
              <w:right w:type="dxa" w:w="100"/>
            </w:tcMar>
          </w:tcPr>
          <w:p>
            <w:r>
              <w:rPr>
                <w:b w:val="false"/>
                <w:bCs w:val="false"/>
                <w:sz w:val="19"/>
                <w:szCs w:val="19"/>
              </w:rPr>
              <w:t xml:space="preserve">~₹4 lakh pre-incorporation support; ₹7 lakh grant post-incorporation; 'digital tech for societal good' is an explicit theme</w:t>
            </w:r>
          </w:p>
        </w:tc>
        <w:tc>
          <w:tcPr>
            <w:tcW w:type="dxa" w:w="3060"/>
            <w:tcMar>
              <w:top w:type="dxa" w:w="60"/>
              <w:left w:type="dxa" w:w="100"/>
              <w:bottom w:type="dxa" w:w="60"/>
              <w:right w:type="dxa" w:w="100"/>
            </w:tcMar>
          </w:tcPr>
          <w:p>
            <w:r>
              <w:rPr>
                <w:b w:val="false"/>
                <w:bCs w:val="false"/>
                <w:sz w:val="19"/>
                <w:szCs w:val="19"/>
              </w:rPr>
              <w:t xml:space="preserve">Through a TIDE incubator (IIT Hyderabad ITIC, IIIT-Delhi etc.); scheme winding down, apply via incubator open calls</w:t>
            </w:r>
          </w:p>
        </w:tc>
      </w:tr>
      <w:tr>
        <w:tc>
          <w:tcPr>
            <w:tcW w:type="dxa" w:w="2600"/>
            <w:tcMar>
              <w:top w:type="dxa" w:w="60"/>
              <w:left w:type="dxa" w:w="100"/>
              <w:bottom w:type="dxa" w:w="60"/>
              <w:right w:type="dxa" w:w="100"/>
            </w:tcMar>
          </w:tcPr>
          <w:p>
            <w:r>
              <w:rPr>
                <w:b w:val="false"/>
                <w:bCs w:val="false"/>
                <w:sz w:val="19"/>
                <w:szCs w:val="19"/>
              </w:rPr>
              <w:t xml:space="preserve">Gujarat SSIP 2.0 (if eligible)</w:t>
            </w:r>
          </w:p>
        </w:tc>
        <w:tc>
          <w:tcPr>
            <w:tcW w:type="dxa" w:w="3700"/>
            <w:tcMar>
              <w:top w:type="dxa" w:w="60"/>
              <w:left w:type="dxa" w:w="100"/>
              <w:bottom w:type="dxa" w:w="60"/>
              <w:right w:type="dxa" w:w="100"/>
            </w:tcMar>
          </w:tcPr>
          <w:p>
            <w:r>
              <w:rPr>
                <w:b w:val="false"/>
                <w:bCs w:val="false"/>
                <w:sz w:val="19"/>
                <w:szCs w:val="19"/>
              </w:rPr>
              <w:t xml:space="preserve">Up to ₹2.5 lakh proof-of-concept grant; covers individual young innovators via approved institutions</w:t>
            </w:r>
          </w:p>
        </w:tc>
        <w:tc>
          <w:tcPr>
            <w:tcW w:type="dxa" w:w="3060"/>
            <w:tcMar>
              <w:top w:type="dxa" w:w="60"/>
              <w:left w:type="dxa" w:w="100"/>
              <w:bottom w:type="dxa" w:w="60"/>
              <w:right w:type="dxa" w:w="100"/>
            </w:tcMar>
          </w:tcPr>
          <w:p>
            <w:r>
              <w:rPr>
                <w:b w:val="false"/>
                <w:bCs w:val="false"/>
                <w:sz w:val="19"/>
                <w:szCs w:val="19"/>
              </w:rPr>
              <w:t xml:space="preserve">ssipgujarat.in</w:t>
            </w:r>
          </w:p>
        </w:tc>
      </w:tr>
      <w:tr>
        <w:tc>
          <w:tcPr>
            <w:tcW w:type="dxa" w:w="2600"/>
            <w:tcMar>
              <w:top w:type="dxa" w:w="60"/>
              <w:left w:type="dxa" w:w="100"/>
              <w:bottom w:type="dxa" w:w="60"/>
              <w:right w:type="dxa" w:w="100"/>
            </w:tcMar>
          </w:tcPr>
          <w:p>
            <w:r>
              <w:rPr>
                <w:b w:val="false"/>
                <w:bCs w:val="false"/>
                <w:sz w:val="19"/>
                <w:szCs w:val="19"/>
              </w:rPr>
              <w:t xml:space="preserve">iCreate, Ahmedabad</w:t>
            </w:r>
          </w:p>
        </w:tc>
        <w:tc>
          <w:tcPr>
            <w:tcW w:type="dxa" w:w="3700"/>
            <w:tcMar>
              <w:top w:type="dxa" w:w="60"/>
              <w:left w:type="dxa" w:w="100"/>
              <w:bottom w:type="dxa" w:w="60"/>
              <w:right w:type="dxa" w:w="100"/>
            </w:tcMar>
          </w:tcPr>
          <w:p>
            <w:r>
              <w:rPr>
                <w:b w:val="false"/>
                <w:bCs w:val="false"/>
                <w:sz w:val="19"/>
                <w:szCs w:val="19"/>
              </w:rPr>
              <w:t xml:space="preserve">Prototype/PoC support up to ~₹30 lakh plus incubation; accepts early teams</w:t>
            </w:r>
          </w:p>
        </w:tc>
        <w:tc>
          <w:tcPr>
            <w:tcW w:type="dxa" w:w="3060"/>
            <w:tcMar>
              <w:top w:type="dxa" w:w="60"/>
              <w:left w:type="dxa" w:w="100"/>
              <w:bottom w:type="dxa" w:w="60"/>
              <w:right w:type="dxa" w:w="100"/>
            </w:tcMar>
          </w:tcPr>
          <w:p>
            <w:r>
              <w:rPr>
                <w:b w:val="false"/>
                <w:bCs w:val="false"/>
                <w:sz w:val="19"/>
                <w:szCs w:val="19"/>
              </w:rPr>
              <w:t xml:space="preserve">icreate.org.in — Pro-Fund program</w:t>
            </w:r>
          </w:p>
        </w:tc>
      </w:tr>
    </w:tbl>
    <w:p>
      <w:pPr>
        <w:spacing w:after="120"/>
      </w:pPr>
      <w:r>
        <w:rPr>
          <w:sz w:val="21"/>
          <w:szCs w:val="21"/>
        </w:rPr>
        <w:t xml:space="preserve"/>
      </w:r>
    </w:p>
    <w:p>
      <w:pPr>
        <w:pStyle w:val="Heading2"/>
        <w:spacing w:after="100" w:before="200"/>
      </w:pPr>
      <w:r>
        <w:rPr>
          <w:b/>
          <w:bCs/>
          <w:color w:val="2E5A88"/>
          <w:sz w:val="24"/>
          <w:szCs w:val="24"/>
        </w:rPr>
        <w:t xml:space="preserve">4.2 After incorporation + DPIIT recognition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3160"/>
      </w:tblGrid>
      <w:tr>
        <w:tc>
          <w:tcPr>
            <w:tcW w:type="dxa" w:w="2800"/>
            <w:shd w:fill="D9E2F3" w:val="clear"/>
            <w:tcMar>
              <w:top w:type="dxa" w:w="60"/>
              <w:left w:type="dxa" w:w="100"/>
              <w:bottom w:type="dxa" w:w="60"/>
              <w:right w:type="dxa" w:w="100"/>
            </w:tcMar>
          </w:tcPr>
          <w:p>
            <w:r>
              <w:rPr>
                <w:b/>
                <w:bCs/>
                <w:sz w:val="19"/>
                <w:szCs w:val="19"/>
              </w:rPr>
              <w:t xml:space="preserve">Scheme</w:t>
            </w:r>
          </w:p>
        </w:tc>
        <w:tc>
          <w:tcPr>
            <w:tcW w:type="dxa" w:w="3400"/>
            <w:shd w:fill="D9E2F3" w:val="clear"/>
            <w:tcMar>
              <w:top w:type="dxa" w:w="60"/>
              <w:left w:type="dxa" w:w="100"/>
              <w:bottom w:type="dxa" w:w="60"/>
              <w:right w:type="dxa" w:w="100"/>
            </w:tcMar>
          </w:tcPr>
          <w:p>
            <w:r>
              <w:rPr>
                <w:b/>
                <w:bCs/>
                <w:sz w:val="19"/>
                <w:szCs w:val="19"/>
              </w:rPr>
              <w:t xml:space="preserve">What it offers</w:t>
            </w:r>
          </w:p>
        </w:tc>
        <w:tc>
          <w:tcPr>
            <w:tcW w:type="dxa" w:w="3160"/>
            <w:shd w:fill="D9E2F3" w:val="clear"/>
            <w:tcMar>
              <w:top w:type="dxa" w:w="60"/>
              <w:left w:type="dxa" w:w="100"/>
              <w:bottom w:type="dxa" w:w="60"/>
              <w:right w:type="dxa" w:w="100"/>
            </w:tcMar>
          </w:tcPr>
          <w:p>
            <w:r>
              <w:rPr>
                <w:b/>
                <w:bCs/>
                <w:sz w:val="19"/>
                <w:szCs w:val="19"/>
              </w:rPr>
              <w:t xml:space="preserve">Notes</w:t>
            </w:r>
          </w:p>
        </w:tc>
      </w:tr>
      <w:tr>
        <w:tc>
          <w:tcPr>
            <w:tcW w:type="dxa" w:w="2800"/>
            <w:tcMar>
              <w:top w:type="dxa" w:w="60"/>
              <w:left w:type="dxa" w:w="100"/>
              <w:bottom w:type="dxa" w:w="60"/>
              <w:right w:type="dxa" w:w="100"/>
            </w:tcMar>
          </w:tcPr>
          <w:p>
            <w:r>
              <w:rPr>
                <w:b w:val="false"/>
                <w:bCs w:val="false"/>
                <w:sz w:val="19"/>
                <w:szCs w:val="19"/>
              </w:rPr>
              <w:t xml:space="preserve">Startup India Seed Fund (SISFS)</w:t>
            </w:r>
          </w:p>
        </w:tc>
        <w:tc>
          <w:tcPr>
            <w:tcW w:type="dxa" w:w="3400"/>
            <w:tcMar>
              <w:top w:type="dxa" w:w="60"/>
              <w:left w:type="dxa" w:w="100"/>
              <w:bottom w:type="dxa" w:w="60"/>
              <w:right w:type="dxa" w:w="100"/>
            </w:tcMar>
          </w:tcPr>
          <w:p>
            <w:r>
              <w:rPr>
                <w:b w:val="false"/>
                <w:bCs w:val="false"/>
                <w:sz w:val="19"/>
                <w:szCs w:val="19"/>
              </w:rPr>
              <w:t xml:space="preserve">Up to ₹20 lakh grant (prototype/PoC, milestone-based) + up to ₹50 lakh convertible debenture</w:t>
            </w:r>
          </w:p>
        </w:tc>
        <w:tc>
          <w:tcPr>
            <w:tcW w:type="dxa" w:w="3160"/>
            <w:tcMar>
              <w:top w:type="dxa" w:w="60"/>
              <w:left w:type="dxa" w:w="100"/>
              <w:bottom w:type="dxa" w:w="60"/>
              <w:right w:type="dxa" w:w="100"/>
            </w:tcMar>
          </w:tcPr>
          <w:p>
            <w:r>
              <w:rPr>
                <w:b w:val="false"/>
                <w:bCs w:val="false"/>
                <w:sz w:val="19"/>
                <w:szCs w:val="19"/>
              </w:rPr>
              <w:t xml:space="preserve">seedfund.startupindia.gov.in — choose up to 3 incubators; company must be &lt;2 yrs old, &lt;₹10 lakh prior govt support</w:t>
            </w:r>
          </w:p>
        </w:tc>
      </w:tr>
      <w:tr>
        <w:tc>
          <w:tcPr>
            <w:tcW w:type="dxa" w:w="2800"/>
            <w:tcMar>
              <w:top w:type="dxa" w:w="60"/>
              <w:left w:type="dxa" w:w="100"/>
              <w:bottom w:type="dxa" w:w="60"/>
              <w:right w:type="dxa" w:w="100"/>
            </w:tcMar>
          </w:tcPr>
          <w:p>
            <w:r>
              <w:rPr>
                <w:b w:val="false"/>
                <w:bCs w:val="false"/>
                <w:sz w:val="19"/>
                <w:szCs w:val="19"/>
              </w:rPr>
              <w:t xml:space="preserve">SAMRIDH (MeitY)</w:t>
            </w:r>
          </w:p>
        </w:tc>
        <w:tc>
          <w:tcPr>
            <w:tcW w:type="dxa" w:w="3400"/>
            <w:tcMar>
              <w:top w:type="dxa" w:w="60"/>
              <w:left w:type="dxa" w:w="100"/>
              <w:bottom w:type="dxa" w:w="60"/>
              <w:right w:type="dxa" w:w="100"/>
            </w:tcMar>
          </w:tcPr>
          <w:p>
            <w:r>
              <w:rPr>
                <w:b w:val="false"/>
                <w:bCs w:val="false"/>
                <w:sz w:val="19"/>
                <w:szCs w:val="19"/>
              </w:rPr>
              <w:t xml:space="preserve">Up to ₹40 lakh matched co-investment</w:t>
            </w:r>
          </w:p>
        </w:tc>
        <w:tc>
          <w:tcPr>
            <w:tcW w:type="dxa" w:w="3160"/>
            <w:tcMar>
              <w:top w:type="dxa" w:w="60"/>
              <w:left w:type="dxa" w:w="100"/>
              <w:bottom w:type="dxa" w:w="60"/>
              <w:right w:type="dxa" w:w="100"/>
            </w:tcMar>
          </w:tcPr>
          <w:p>
            <w:r>
              <w:rPr>
                <w:b w:val="false"/>
                <w:bCs w:val="false"/>
                <w:sz w:val="19"/>
                <w:szCs w:val="19"/>
              </w:rPr>
              <w:t xml:space="preserve">Later stage — needs customer traction</w:t>
            </w:r>
          </w:p>
        </w:tc>
      </w:tr>
      <w:tr>
        <w:tc>
          <w:tcPr>
            <w:tcW w:type="dxa" w:w="2800"/>
            <w:tcMar>
              <w:top w:type="dxa" w:w="60"/>
              <w:left w:type="dxa" w:w="100"/>
              <w:bottom w:type="dxa" w:w="60"/>
              <w:right w:type="dxa" w:w="100"/>
            </w:tcMar>
          </w:tcPr>
          <w:p>
            <w:r>
              <w:rPr>
                <w:b w:val="false"/>
                <w:bCs w:val="false"/>
                <w:sz w:val="19"/>
                <w:szCs w:val="19"/>
              </w:rPr>
              <w:t xml:space="preserve">BIRAC–Social Alpha Quest for Assistive Technologies</w:t>
            </w:r>
          </w:p>
        </w:tc>
        <w:tc>
          <w:tcPr>
            <w:tcW w:type="dxa" w:w="3400"/>
            <w:tcMar>
              <w:top w:type="dxa" w:w="60"/>
              <w:left w:type="dxa" w:w="100"/>
              <w:bottom w:type="dxa" w:w="60"/>
              <w:right w:type="dxa" w:w="100"/>
            </w:tcMar>
          </w:tcPr>
          <w:p>
            <w:r>
              <w:rPr>
                <w:b w:val="false"/>
                <w:bCs w:val="false"/>
                <w:sz w:val="19"/>
                <w:szCs w:val="19"/>
              </w:rPr>
              <w:t xml:space="preserve">Grants + incubation for AT startups (Mphasis / Tata Trusts backed)</w:t>
            </w:r>
          </w:p>
        </w:tc>
        <w:tc>
          <w:tcPr>
            <w:tcW w:type="dxa" w:w="3160"/>
            <w:tcMar>
              <w:top w:type="dxa" w:w="60"/>
              <w:left w:type="dxa" w:w="100"/>
              <w:bottom w:type="dxa" w:w="60"/>
              <w:right w:type="dxa" w:w="100"/>
            </w:tcMar>
          </w:tcPr>
          <w:p>
            <w:r>
              <w:rPr>
                <w:b w:val="false"/>
                <w:bCs w:val="false"/>
                <w:sz w:val="19"/>
                <w:szCs w:val="19"/>
              </w:rPr>
              <w:t xml:space="preserve">Social Alpha accepts rolling applications; needs registered entity</w:t>
            </w:r>
          </w:p>
        </w:tc>
      </w:tr>
      <w:tr>
        <w:tc>
          <w:tcPr>
            <w:tcW w:type="dxa" w:w="2800"/>
            <w:tcMar>
              <w:top w:type="dxa" w:w="60"/>
              <w:left w:type="dxa" w:w="100"/>
              <w:bottom w:type="dxa" w:w="60"/>
              <w:right w:type="dxa" w:w="100"/>
            </w:tcMar>
          </w:tcPr>
          <w:p>
            <w:r>
              <w:rPr>
                <w:b w:val="false"/>
                <w:bCs w:val="false"/>
                <w:sz w:val="19"/>
                <w:szCs w:val="19"/>
              </w:rPr>
              <w:t xml:space="preserve">IIT Madras ecosystem (NCAHT / IITM Incubation Cell)</w:t>
            </w:r>
          </w:p>
        </w:tc>
        <w:tc>
          <w:tcPr>
            <w:tcW w:type="dxa" w:w="3400"/>
            <w:tcMar>
              <w:top w:type="dxa" w:w="60"/>
              <w:left w:type="dxa" w:w="100"/>
              <w:bottom w:type="dxa" w:w="60"/>
              <w:right w:type="dxa" w:w="100"/>
            </w:tcMar>
          </w:tcPr>
          <w:p>
            <w:r>
              <w:rPr>
                <w:b w:val="false"/>
                <w:bCs w:val="false"/>
                <w:sz w:val="19"/>
                <w:szCs w:val="19"/>
              </w:rPr>
              <w:t xml:space="preserve">TECHPIONEER grants up to ₹50 lakh for incubatees; national assistive-health-tech centre</w:t>
            </w:r>
          </w:p>
        </w:tc>
        <w:tc>
          <w:tcPr>
            <w:tcW w:type="dxa" w:w="3160"/>
            <w:tcMar>
              <w:top w:type="dxa" w:w="60"/>
              <w:left w:type="dxa" w:w="100"/>
              <w:bottom w:type="dxa" w:w="60"/>
              <w:right w:type="dxa" w:w="100"/>
            </w:tcMar>
          </w:tcPr>
          <w:p>
            <w:r>
              <w:rPr>
                <w:b w:val="false"/>
                <w:bCs w:val="false"/>
                <w:sz w:val="19"/>
                <w:szCs w:val="19"/>
              </w:rPr>
              <w:t xml:space="preserve">Strong AT-specific landing spot for validation + funding</w:t>
            </w:r>
          </w:p>
        </w:tc>
      </w:tr>
      <w:tr>
        <w:tc>
          <w:tcPr>
            <w:tcW w:type="dxa" w:w="2800"/>
            <w:tcMar>
              <w:top w:type="dxa" w:w="60"/>
              <w:left w:type="dxa" w:w="100"/>
              <w:bottom w:type="dxa" w:w="60"/>
              <w:right w:type="dxa" w:w="100"/>
            </w:tcMar>
          </w:tcPr>
          <w:p>
            <w:r>
              <w:rPr>
                <w:b w:val="false"/>
                <w:bCs w:val="false"/>
                <w:sz w:val="19"/>
                <w:szCs w:val="19"/>
              </w:rPr>
              <w:t xml:space="preserve">Maharashtra MSInS</w:t>
            </w:r>
          </w:p>
        </w:tc>
        <w:tc>
          <w:tcPr>
            <w:tcW w:type="dxa" w:w="3400"/>
            <w:tcMar>
              <w:top w:type="dxa" w:w="60"/>
              <w:left w:type="dxa" w:w="100"/>
              <w:bottom w:type="dxa" w:w="60"/>
              <w:right w:type="dxa" w:w="100"/>
            </w:tcMar>
          </w:tcPr>
          <w:p>
            <w:r>
              <w:rPr>
                <w:b w:val="false"/>
                <w:bCs w:val="false"/>
                <w:sz w:val="19"/>
                <w:szCs w:val="19"/>
              </w:rPr>
              <w:t xml:space="preserve">Startup Week (past winners got ₹15 lakh govt work orders), incubation programs</w:t>
            </w:r>
          </w:p>
        </w:tc>
        <w:tc>
          <w:tcPr>
            <w:tcW w:type="dxa" w:w="3160"/>
            <w:tcMar>
              <w:top w:type="dxa" w:w="60"/>
              <w:left w:type="dxa" w:w="100"/>
              <w:bottom w:type="dxa" w:w="60"/>
              <w:right w:type="dxa" w:w="100"/>
            </w:tcMar>
          </w:tcPr>
          <w:p>
            <w:r>
              <w:rPr>
                <w:b w:val="false"/>
                <w:bCs w:val="false"/>
                <w:sz w:val="19"/>
                <w:szCs w:val="19"/>
              </w:rPr>
              <w:t xml:space="preserve">msins.in — most programs need DPIIT recognition</w:t>
            </w:r>
          </w:p>
        </w:tc>
      </w:tr>
    </w:tbl>
    <w:p>
      <w:pPr>
        <w:spacing w:after="120"/>
      </w:pPr>
      <w:r>
        <w:rPr>
          <w:sz w:val="21"/>
          <w:szCs w:val="21"/>
        </w:rPr>
        <w:t xml:space="preserve"/>
      </w:r>
    </w:p>
    <w:p>
      <w:pPr>
        <w:spacing w:after="120"/>
      </w:pPr>
      <w:r>
        <w:rPr>
          <w:sz w:val="21"/>
          <w:szCs w:val="21"/>
        </w:rPr>
        <w:t xml:space="preserve">DEPwD note: DEPwD's R&amp;D scheme (under SIPDA) funds disability-tech research but only through NGOs, academic institutions or government bodies — reach it later via an institutional partner such as AYJNISHD. ADIP is a device-distribution channel, not innovation funding, but is a possible long-term government-buyer route if SunoSathi is ever bundled with subsidised hearing devices.</w:t>
      </w:r>
    </w:p>
    <w:p>
      <w:pPr>
        <w:pStyle w:val="Heading1"/>
        <w:spacing w:after="120" w:before="280"/>
      </w:pPr>
      <w:r>
        <w:rPr>
          <w:b/>
          <w:bCs/>
          <w:color w:val="1F3864"/>
          <w:sz w:val="28"/>
          <w:szCs w:val="28"/>
        </w:rPr>
        <w:t xml:space="preserve">5. Whom to approach — NGOs, institutes, ecosystem</w:t>
      </w:r>
    </w:p>
    <w:p>
      <w:pPr>
        <w:pStyle w:val="Heading2"/>
        <w:spacing w:after="100" w:before="200"/>
      </w:pPr>
      <w:r>
        <w:rPr>
          <w:b/>
          <w:bCs/>
          <w:color w:val="2E5A88"/>
          <w:sz w:val="24"/>
          <w:szCs w:val="24"/>
        </w:rPr>
        <w:t xml:space="preserve">5.1 Assistive-tech ecosystem (highest leverage — apply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600"/>
        <w:gridCol w:w="3060"/>
      </w:tblGrid>
      <w:tr>
        <w:tc>
          <w:tcPr>
            <w:tcW w:type="dxa" w:w="2700"/>
            <w:shd w:fill="D9E2F3" w:val="clear"/>
            <w:tcMar>
              <w:top w:type="dxa" w:w="60"/>
              <w:left w:type="dxa" w:w="100"/>
              <w:bottom w:type="dxa" w:w="60"/>
              <w:right w:type="dxa" w:w="100"/>
            </w:tcMar>
          </w:tcPr>
          <w:p>
            <w:r>
              <w:rPr>
                <w:b/>
                <w:bCs/>
                <w:sz w:val="19"/>
                <w:szCs w:val="19"/>
              </w:rPr>
              <w:t xml:space="preserve">Organisation</w:t>
            </w:r>
          </w:p>
        </w:tc>
        <w:tc>
          <w:tcPr>
            <w:tcW w:type="dxa" w:w="3600"/>
            <w:shd w:fill="D9E2F3" w:val="clear"/>
            <w:tcMar>
              <w:top w:type="dxa" w:w="60"/>
              <w:left w:type="dxa" w:w="100"/>
              <w:bottom w:type="dxa" w:w="60"/>
              <w:right w:type="dxa" w:w="100"/>
            </w:tcMar>
          </w:tcPr>
          <w:p>
            <w:r>
              <w:rPr>
                <w:b/>
                <w:bCs/>
                <w:sz w:val="19"/>
                <w:szCs w:val="19"/>
              </w:rPr>
              <w:t xml:space="preserve">Why</w:t>
            </w:r>
          </w:p>
        </w:tc>
        <w:tc>
          <w:tcPr>
            <w:tcW w:type="dxa" w:w="3060"/>
            <w:shd w:fill="D9E2F3" w:val="clear"/>
            <w:tcMar>
              <w:top w:type="dxa" w:w="60"/>
              <w:left w:type="dxa" w:w="100"/>
              <w:bottom w:type="dxa" w:w="60"/>
              <w:right w:type="dxa" w:w="100"/>
            </w:tcMar>
          </w:tcPr>
          <w:p>
            <w:r>
              <w:rPr>
                <w:b/>
                <w:bCs/>
                <w:sz w:val="19"/>
                <w:szCs w:val="19"/>
              </w:rPr>
              <w:t xml:space="preserve">Route</w:t>
            </w:r>
          </w:p>
        </w:tc>
      </w:tr>
      <w:tr>
        <w:tc>
          <w:tcPr>
            <w:tcW w:type="dxa" w:w="2700"/>
            <w:tcMar>
              <w:top w:type="dxa" w:w="60"/>
              <w:left w:type="dxa" w:w="100"/>
              <w:bottom w:type="dxa" w:w="60"/>
              <w:right w:type="dxa" w:w="100"/>
            </w:tcMar>
          </w:tcPr>
          <w:p>
            <w:r>
              <w:rPr>
                <w:b w:val="false"/>
                <w:bCs w:val="false"/>
                <w:sz w:val="19"/>
                <w:szCs w:val="19"/>
              </w:rPr>
              <w:t xml:space="preserve">AssisTech Foundation (ATF), Bengaluru</w:t>
            </w:r>
          </w:p>
        </w:tc>
        <w:tc>
          <w:tcPr>
            <w:tcW w:type="dxa" w:w="3600"/>
            <w:tcMar>
              <w:top w:type="dxa" w:w="60"/>
              <w:left w:type="dxa" w:w="100"/>
              <w:bottom w:type="dxa" w:w="60"/>
              <w:right w:type="dxa" w:w="100"/>
            </w:tcMar>
          </w:tcPr>
          <w:p>
            <w:r>
              <w:rPr>
                <w:b w:val="false"/>
                <w:bCs w:val="false"/>
                <w:sz w:val="19"/>
                <w:szCs w:val="19"/>
              </w:rPr>
              <w:t xml:space="preserve">India's dedicated AT startup accelerator ('ATF Enable', 16-week cohorts) + ATF Awards; textbook fit</w:t>
            </w:r>
          </w:p>
        </w:tc>
        <w:tc>
          <w:tcPr>
            <w:tcW w:type="dxa" w:w="3060"/>
            <w:tcMar>
              <w:top w:type="dxa" w:w="60"/>
              <w:left w:type="dxa" w:w="100"/>
              <w:bottom w:type="dxa" w:w="60"/>
              <w:right w:type="dxa" w:w="100"/>
            </w:tcMar>
          </w:tcPr>
          <w:p>
            <w:r>
              <w:rPr>
                <w:b w:val="false"/>
                <w:bCs w:val="false"/>
                <w:sz w:val="19"/>
                <w:szCs w:val="19"/>
              </w:rPr>
              <w:t xml:space="preserve">atflabs.org/acceleration-program · info@atflabs.org</w:t>
            </w:r>
          </w:p>
        </w:tc>
      </w:tr>
      <w:tr>
        <w:tc>
          <w:tcPr>
            <w:tcW w:type="dxa" w:w="2700"/>
            <w:tcMar>
              <w:top w:type="dxa" w:w="60"/>
              <w:left w:type="dxa" w:w="100"/>
              <w:bottom w:type="dxa" w:w="60"/>
              <w:right w:type="dxa" w:w="100"/>
            </w:tcMar>
          </w:tcPr>
          <w:p>
            <w:r>
              <w:rPr>
                <w:b w:val="false"/>
                <w:bCs w:val="false"/>
                <w:sz w:val="19"/>
                <w:szCs w:val="19"/>
              </w:rPr>
              <w:t xml:space="preserve">Social Alpha — Assistive Tech vertical</w:t>
            </w:r>
          </w:p>
        </w:tc>
        <w:tc>
          <w:tcPr>
            <w:tcW w:type="dxa" w:w="3600"/>
            <w:tcMar>
              <w:top w:type="dxa" w:w="60"/>
              <w:left w:type="dxa" w:w="100"/>
              <w:bottom w:type="dxa" w:w="60"/>
              <w:right w:type="dxa" w:w="100"/>
            </w:tcMar>
          </w:tcPr>
          <w:p>
            <w:r>
              <w:rPr>
                <w:b w:val="false"/>
                <w:bCs w:val="false"/>
                <w:sz w:val="19"/>
                <w:szCs w:val="19"/>
              </w:rPr>
              <w:t xml:space="preserve">Runs BIRAC AT Quest and SBI Foundation 'Techtonic' (up to ₹20L implementation + ₹30L validation + ₹50L follow-on)</w:t>
            </w:r>
          </w:p>
        </w:tc>
        <w:tc>
          <w:tcPr>
            <w:tcW w:type="dxa" w:w="3060"/>
            <w:tcMar>
              <w:top w:type="dxa" w:w="60"/>
              <w:left w:type="dxa" w:w="100"/>
              <w:bottom w:type="dxa" w:w="60"/>
              <w:right w:type="dxa" w:w="100"/>
            </w:tcMar>
          </w:tcPr>
          <w:p>
            <w:r>
              <w:rPr>
                <w:b w:val="false"/>
                <w:bCs w:val="false"/>
                <w:sz w:val="19"/>
                <w:szCs w:val="19"/>
              </w:rPr>
              <w:t xml:space="preserve">assistivetech@socialalpha.org · socialalpha.org/assistive-technologies</w:t>
            </w:r>
          </w:p>
        </w:tc>
      </w:tr>
      <w:tr>
        <w:tc>
          <w:tcPr>
            <w:tcW w:type="dxa" w:w="2700"/>
            <w:tcMar>
              <w:top w:type="dxa" w:w="60"/>
              <w:left w:type="dxa" w:w="100"/>
              <w:bottom w:type="dxa" w:w="60"/>
              <w:right w:type="dxa" w:w="100"/>
            </w:tcMar>
          </w:tcPr>
          <w:p>
            <w:r>
              <w:rPr>
                <w:b w:val="false"/>
                <w:bCs w:val="false"/>
                <w:sz w:val="19"/>
                <w:szCs w:val="19"/>
              </w:rPr>
              <w:t xml:space="preserve">NCPEDP–Mphasis Universal Design Awards</w:t>
            </w:r>
          </w:p>
        </w:tc>
        <w:tc>
          <w:tcPr>
            <w:tcW w:type="dxa" w:w="3600"/>
            <w:tcMar>
              <w:top w:type="dxa" w:w="60"/>
              <w:left w:type="dxa" w:w="100"/>
              <w:bottom w:type="dxa" w:w="60"/>
              <w:right w:type="dxa" w:w="100"/>
            </w:tcMar>
          </w:tcPr>
          <w:p>
            <w:r>
              <w:rPr>
                <w:b w:val="false"/>
                <w:bCs w:val="false"/>
                <w:sz w:val="19"/>
                <w:szCs w:val="19"/>
              </w:rPr>
              <w:t xml:space="preserve">17th edition (2026) applications reported open; the single best credibility signal in Indian accessibility</w:t>
            </w:r>
          </w:p>
        </w:tc>
        <w:tc>
          <w:tcPr>
            <w:tcW w:type="dxa" w:w="3060"/>
            <w:tcMar>
              <w:top w:type="dxa" w:w="60"/>
              <w:left w:type="dxa" w:w="100"/>
              <w:bottom w:type="dxa" w:w="60"/>
              <w:right w:type="dxa" w:w="100"/>
            </w:tcMar>
          </w:tcPr>
          <w:p>
            <w:r>
              <w:rPr>
                <w:b w:val="false"/>
                <w:bCs w:val="false"/>
                <w:sz w:val="19"/>
                <w:szCs w:val="19"/>
              </w:rPr>
              <w:t xml:space="preserve">ncpedp.org/awards</w:t>
            </w:r>
          </w:p>
        </w:tc>
      </w:tr>
      <w:tr>
        <w:tc>
          <w:tcPr>
            <w:tcW w:type="dxa" w:w="2700"/>
            <w:tcMar>
              <w:top w:type="dxa" w:w="60"/>
              <w:left w:type="dxa" w:w="100"/>
              <w:bottom w:type="dxa" w:w="60"/>
              <w:right w:type="dxa" w:w="100"/>
            </w:tcMar>
          </w:tcPr>
          <w:p>
            <w:r>
              <w:rPr>
                <w:b w:val="false"/>
                <w:bCs w:val="false"/>
                <w:sz w:val="19"/>
                <w:szCs w:val="19"/>
              </w:rPr>
              <w:t xml:space="preserve">IIT Madras R2D2 / NCAHT</w:t>
            </w:r>
          </w:p>
        </w:tc>
        <w:tc>
          <w:tcPr>
            <w:tcW w:type="dxa" w:w="3600"/>
            <w:tcMar>
              <w:top w:type="dxa" w:w="60"/>
              <w:left w:type="dxa" w:w="100"/>
              <w:bottom w:type="dxa" w:w="60"/>
              <w:right w:type="dxa" w:w="100"/>
            </w:tcMar>
          </w:tcPr>
          <w:p>
            <w:r>
              <w:rPr>
                <w:b w:val="false"/>
                <w:bCs w:val="false"/>
                <w:sz w:val="19"/>
                <w:szCs w:val="19"/>
              </w:rPr>
              <w:t xml:space="preserve">National assistive-health-tech centre; validation + ecosystem connections</w:t>
            </w:r>
          </w:p>
        </w:tc>
        <w:tc>
          <w:tcPr>
            <w:tcW w:type="dxa" w:w="3060"/>
            <w:tcMar>
              <w:top w:type="dxa" w:w="60"/>
              <w:left w:type="dxa" w:w="100"/>
              <w:bottom w:type="dxa" w:w="60"/>
              <w:right w:type="dxa" w:w="100"/>
            </w:tcMar>
          </w:tcPr>
          <w:p>
            <w:r>
              <w:rPr>
                <w:b w:val="false"/>
                <w:bCs w:val="false"/>
                <w:sz w:val="19"/>
                <w:szCs w:val="19"/>
              </w:rPr>
              <w:t xml:space="preserve">r2d2.iitm.ac.in/contact</w:t>
            </w:r>
          </w:p>
        </w:tc>
      </w:tr>
      <w:tr>
        <w:tc>
          <w:tcPr>
            <w:tcW w:type="dxa" w:w="2700"/>
            <w:tcMar>
              <w:top w:type="dxa" w:w="60"/>
              <w:left w:type="dxa" w:w="100"/>
              <w:bottom w:type="dxa" w:w="60"/>
              <w:right w:type="dxa" w:w="100"/>
            </w:tcMar>
          </w:tcPr>
          <w:p>
            <w:r>
              <w:rPr>
                <w:b w:val="false"/>
                <w:bCs w:val="false"/>
                <w:sz w:val="19"/>
                <w:szCs w:val="19"/>
              </w:rPr>
              <w:t xml:space="preserve">Youth4Jobs (Hyderabad)</w:t>
            </w:r>
          </w:p>
        </w:tc>
        <w:tc>
          <w:tcPr>
            <w:tcW w:type="dxa" w:w="3600"/>
            <w:tcMar>
              <w:top w:type="dxa" w:w="60"/>
              <w:left w:type="dxa" w:w="100"/>
              <w:bottom w:type="dxa" w:w="60"/>
              <w:right w:type="dxa" w:w="100"/>
            </w:tcMar>
          </w:tcPr>
          <w:p>
            <w:r>
              <w:rPr>
                <w:b w:val="false"/>
                <w:bCs w:val="false"/>
                <w:sz w:val="19"/>
                <w:szCs w:val="19"/>
              </w:rPr>
              <w:t xml:space="preserve">Tech Connect program for AT + PwD jobs portal</w:t>
            </w:r>
          </w:p>
        </w:tc>
        <w:tc>
          <w:tcPr>
            <w:tcW w:type="dxa" w:w="3060"/>
            <w:tcMar>
              <w:top w:type="dxa" w:w="60"/>
              <w:left w:type="dxa" w:w="100"/>
              <w:bottom w:type="dxa" w:w="60"/>
              <w:right w:type="dxa" w:w="100"/>
            </w:tcMar>
          </w:tcPr>
          <w:p>
            <w:r>
              <w:rPr>
                <w:b w:val="false"/>
                <w:bCs w:val="false"/>
                <w:sz w:val="19"/>
                <w:szCs w:val="19"/>
              </w:rPr>
              <w:t xml:space="preserve">youth4jobs.org/contact-us</w:t>
            </w:r>
          </w:p>
        </w:tc>
      </w:tr>
    </w:tbl>
    <w:p>
      <w:pPr>
        <w:spacing w:after="120"/>
      </w:pPr>
      <w:r>
        <w:rPr>
          <w:sz w:val="21"/>
          <w:szCs w:val="21"/>
        </w:rPr>
        <w:t xml:space="preserve"/>
      </w:r>
    </w:p>
    <w:p>
      <w:pPr>
        <w:pStyle w:val="Heading2"/>
        <w:spacing w:after="100" w:before="200"/>
      </w:pPr>
      <w:r>
        <w:rPr>
          <w:b/>
          <w:bCs/>
          <w:color w:val="2E5A88"/>
          <w:sz w:val="24"/>
          <w:szCs w:val="24"/>
        </w:rPr>
        <w:t xml:space="preserve">5.2 Deaf / hard-of-hearing organisations (pilots + endorsement)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800"/>
        <w:gridCol w:w="2860"/>
      </w:tblGrid>
      <w:tr>
        <w:tc>
          <w:tcPr>
            <w:tcW w:type="dxa" w:w="2700"/>
            <w:shd w:fill="D9E2F3" w:val="clear"/>
            <w:tcMar>
              <w:top w:type="dxa" w:w="60"/>
              <w:left w:type="dxa" w:w="100"/>
              <w:bottom w:type="dxa" w:w="60"/>
              <w:right w:type="dxa" w:w="100"/>
            </w:tcMar>
          </w:tcPr>
          <w:p>
            <w:r>
              <w:rPr>
                <w:b/>
                <w:bCs/>
                <w:sz w:val="19"/>
                <w:szCs w:val="19"/>
              </w:rPr>
              <w:t xml:space="preserve">Organisation</w:t>
            </w:r>
          </w:p>
        </w:tc>
        <w:tc>
          <w:tcPr>
            <w:tcW w:type="dxa" w:w="3800"/>
            <w:shd w:fill="D9E2F3" w:val="clear"/>
            <w:tcMar>
              <w:top w:type="dxa" w:w="60"/>
              <w:left w:type="dxa" w:w="100"/>
              <w:bottom w:type="dxa" w:w="60"/>
              <w:right w:type="dxa" w:w="100"/>
            </w:tcMar>
          </w:tcPr>
          <w:p>
            <w:r>
              <w:rPr>
                <w:b/>
                <w:bCs/>
                <w:sz w:val="19"/>
                <w:szCs w:val="19"/>
              </w:rPr>
              <w:t xml:space="preserve">Why</w:t>
            </w:r>
          </w:p>
        </w:tc>
        <w:tc>
          <w:tcPr>
            <w:tcW w:type="dxa" w:w="2860"/>
            <w:shd w:fill="D9E2F3" w:val="clear"/>
            <w:tcMar>
              <w:top w:type="dxa" w:w="60"/>
              <w:left w:type="dxa" w:w="100"/>
              <w:bottom w:type="dxa" w:w="60"/>
              <w:right w:type="dxa" w:w="100"/>
            </w:tcMar>
          </w:tcPr>
          <w:p>
            <w:r>
              <w:rPr>
                <w:b/>
                <w:bCs/>
                <w:sz w:val="19"/>
                <w:szCs w:val="19"/>
              </w:rPr>
              <w:t xml:space="preserve">Route</w:t>
            </w:r>
          </w:p>
        </w:tc>
      </w:tr>
      <w:tr>
        <w:tc>
          <w:tcPr>
            <w:tcW w:type="dxa" w:w="2700"/>
            <w:tcMar>
              <w:top w:type="dxa" w:w="60"/>
              <w:left w:type="dxa" w:w="100"/>
              <w:bottom w:type="dxa" w:w="60"/>
              <w:right w:type="dxa" w:w="100"/>
            </w:tcMar>
          </w:tcPr>
          <w:p>
            <w:r>
              <w:rPr>
                <w:b w:val="false"/>
                <w:bCs w:val="false"/>
                <w:sz w:val="19"/>
                <w:szCs w:val="19"/>
              </w:rPr>
              <w:t xml:space="preserve">Deaf Enabled Foundation (DEF)</w:t>
            </w:r>
          </w:p>
        </w:tc>
        <w:tc>
          <w:tcPr>
            <w:tcW w:type="dxa" w:w="3800"/>
            <w:tcMar>
              <w:top w:type="dxa" w:w="60"/>
              <w:left w:type="dxa" w:w="100"/>
              <w:bottom w:type="dxa" w:w="60"/>
              <w:right w:type="dxa" w:w="100"/>
            </w:tcMar>
          </w:tcPr>
          <w:p>
            <w:r>
              <w:rPr>
                <w:b w:val="false"/>
                <w:bCs w:val="false"/>
                <w:sz w:val="19"/>
                <w:szCs w:val="19"/>
              </w:rPr>
              <w:t xml:space="preserve">Centres in 8 cities incl. Ahmedabad &amp; Mumbai; already ships its own app — tech-friendly; ideal Gujarati/Hindi pilot partner</w:t>
            </w:r>
          </w:p>
        </w:tc>
        <w:tc>
          <w:tcPr>
            <w:tcW w:type="dxa" w:w="2860"/>
            <w:tcMar>
              <w:top w:type="dxa" w:w="60"/>
              <w:left w:type="dxa" w:w="100"/>
              <w:bottom w:type="dxa" w:w="60"/>
              <w:right w:type="dxa" w:w="100"/>
            </w:tcMar>
          </w:tcPr>
          <w:p>
            <w:r>
              <w:rPr>
                <w:b w:val="false"/>
                <w:bCs w:val="false"/>
                <w:sz w:val="19"/>
                <w:szCs w:val="19"/>
              </w:rPr>
              <w:t xml:space="preserve">info@def.org.in · +91 97033 81112</w:t>
            </w:r>
          </w:p>
        </w:tc>
      </w:tr>
      <w:tr>
        <w:tc>
          <w:tcPr>
            <w:tcW w:type="dxa" w:w="2700"/>
            <w:tcMar>
              <w:top w:type="dxa" w:w="60"/>
              <w:left w:type="dxa" w:w="100"/>
              <w:bottom w:type="dxa" w:w="60"/>
              <w:right w:type="dxa" w:w="100"/>
            </w:tcMar>
          </w:tcPr>
          <w:p>
            <w:r>
              <w:rPr>
                <w:b w:val="false"/>
                <w:bCs w:val="false"/>
                <w:sz w:val="19"/>
                <w:szCs w:val="19"/>
              </w:rPr>
              <w:t xml:space="preserve">National Association of the Deaf (India)</w:t>
            </w:r>
          </w:p>
        </w:tc>
        <w:tc>
          <w:tcPr>
            <w:tcW w:type="dxa" w:w="3800"/>
            <w:tcMar>
              <w:top w:type="dxa" w:w="60"/>
              <w:left w:type="dxa" w:w="100"/>
              <w:bottom w:type="dxa" w:w="60"/>
              <w:right w:type="dxa" w:w="100"/>
            </w:tcMar>
          </w:tcPr>
          <w:p>
            <w:r>
              <w:rPr>
                <w:b w:val="false"/>
                <w:bCs w:val="false"/>
                <w:sz w:val="19"/>
                <w:szCs w:val="19"/>
              </w:rPr>
              <w:t xml:space="preserve">National advocacy body; endorsement gives community legitimacy; pitch for hard-of-hearing/late-deafened members</w:t>
            </w:r>
          </w:p>
        </w:tc>
        <w:tc>
          <w:tcPr>
            <w:tcW w:type="dxa" w:w="2860"/>
            <w:tcMar>
              <w:top w:type="dxa" w:w="60"/>
              <w:left w:type="dxa" w:w="100"/>
              <w:bottom w:type="dxa" w:w="60"/>
              <w:right w:type="dxa" w:w="100"/>
            </w:tcMar>
          </w:tcPr>
          <w:p>
            <w:r>
              <w:rPr>
                <w:b w:val="false"/>
                <w:bCs w:val="false"/>
                <w:sz w:val="19"/>
                <w:szCs w:val="19"/>
              </w:rPr>
              <w:t xml:space="preserve">secretary@nadindia.org (Delhi)</w:t>
            </w:r>
          </w:p>
        </w:tc>
      </w:tr>
      <w:tr>
        <w:tc>
          <w:tcPr>
            <w:tcW w:type="dxa" w:w="2700"/>
            <w:tcMar>
              <w:top w:type="dxa" w:w="60"/>
              <w:left w:type="dxa" w:w="100"/>
              <w:bottom w:type="dxa" w:w="60"/>
              <w:right w:type="dxa" w:w="100"/>
            </w:tcMar>
          </w:tcPr>
          <w:p>
            <w:r>
              <w:rPr>
                <w:b w:val="false"/>
                <w:bCs w:val="false"/>
                <w:sz w:val="19"/>
                <w:szCs w:val="19"/>
              </w:rPr>
              <w:t xml:space="preserve">AYJNISHD, Mumbai (govt institute, DEPwD)</w:t>
            </w:r>
          </w:p>
        </w:tc>
        <w:tc>
          <w:tcPr>
            <w:tcW w:type="dxa" w:w="3800"/>
            <w:tcMar>
              <w:top w:type="dxa" w:w="60"/>
              <w:left w:type="dxa" w:w="100"/>
              <w:bottom w:type="dxa" w:w="60"/>
              <w:right w:type="dxa" w:w="100"/>
            </w:tcMar>
          </w:tcPr>
          <w:p>
            <w:r>
              <w:rPr>
                <w:b w:val="false"/>
                <w:bCs w:val="false"/>
                <w:sz w:val="19"/>
                <w:szCs w:val="19"/>
              </w:rPr>
              <w:t xml:space="preserve">Audiology clinics with large elderly hearing-aid patient flow; clinical validation partner; gateway to DEPwD R&amp;D funding</w:t>
            </w:r>
          </w:p>
        </w:tc>
        <w:tc>
          <w:tcPr>
            <w:tcW w:type="dxa" w:w="2860"/>
            <w:tcMar>
              <w:top w:type="dxa" w:w="60"/>
              <w:left w:type="dxa" w:w="100"/>
              <w:bottom w:type="dxa" w:w="60"/>
              <w:right w:type="dxa" w:w="100"/>
            </w:tcMar>
          </w:tcPr>
          <w:p>
            <w:r>
              <w:rPr>
                <w:b w:val="false"/>
                <w:bCs w:val="false"/>
                <w:sz w:val="19"/>
                <w:szCs w:val="19"/>
              </w:rPr>
              <w:t xml:space="preserve">ayjnishd.nic.in — Director's office, research-collaboration proposal (expect an MoU process)</w:t>
            </w:r>
          </w:p>
        </w:tc>
      </w:tr>
      <w:tr>
        <w:tc>
          <w:tcPr>
            <w:tcW w:type="dxa" w:w="2700"/>
            <w:tcMar>
              <w:top w:type="dxa" w:w="60"/>
              <w:left w:type="dxa" w:w="100"/>
              <w:bottom w:type="dxa" w:w="60"/>
              <w:right w:type="dxa" w:w="100"/>
            </w:tcMar>
          </w:tcPr>
          <w:p>
            <w:r>
              <w:rPr>
                <w:b w:val="false"/>
                <w:bCs w:val="false"/>
                <w:sz w:val="19"/>
                <w:szCs w:val="19"/>
              </w:rPr>
              <w:t xml:space="preserve">v-shesh (Chennai/Mumbai)</w:t>
            </w:r>
          </w:p>
        </w:tc>
        <w:tc>
          <w:tcPr>
            <w:tcW w:type="dxa" w:w="3800"/>
            <w:tcMar>
              <w:top w:type="dxa" w:w="60"/>
              <w:left w:type="dxa" w:w="100"/>
              <w:bottom w:type="dxa" w:w="60"/>
              <w:right w:type="dxa" w:w="100"/>
            </w:tcMar>
          </w:tcPr>
          <w:p>
            <w:r>
              <w:rPr>
                <w:b w:val="false"/>
                <w:bCs w:val="false"/>
                <w:sz w:val="19"/>
                <w:szCs w:val="19"/>
              </w:rPr>
              <w:t xml:space="preserve">Places deaf jobseekers with employers — workplace-calls pilot angle</w:t>
            </w:r>
          </w:p>
        </w:tc>
        <w:tc>
          <w:tcPr>
            <w:tcW w:type="dxa" w:w="2860"/>
            <w:tcMar>
              <w:top w:type="dxa" w:w="60"/>
              <w:left w:type="dxa" w:w="100"/>
              <w:bottom w:type="dxa" w:w="60"/>
              <w:right w:type="dxa" w:w="100"/>
            </w:tcMar>
          </w:tcPr>
          <w:p>
            <w:r>
              <w:rPr>
                <w:b w:val="false"/>
                <w:bCs w:val="false"/>
                <w:sz w:val="19"/>
                <w:szCs w:val="19"/>
              </w:rPr>
              <w:t xml:space="preserve">v-shesh.com/contact-us</w:t>
            </w:r>
          </w:p>
        </w:tc>
      </w:tr>
      <w:tr>
        <w:tc>
          <w:tcPr>
            <w:tcW w:type="dxa" w:w="2700"/>
            <w:tcMar>
              <w:top w:type="dxa" w:w="60"/>
              <w:left w:type="dxa" w:w="100"/>
              <w:bottom w:type="dxa" w:w="60"/>
              <w:right w:type="dxa" w:w="100"/>
            </w:tcMar>
          </w:tcPr>
          <w:p>
            <w:r>
              <w:rPr>
                <w:b w:val="false"/>
                <w:bCs w:val="false"/>
                <w:sz w:val="19"/>
                <w:szCs w:val="19"/>
              </w:rPr>
              <w:t xml:space="preserve">EnAble India (Bengaluru)</w:t>
            </w:r>
          </w:p>
        </w:tc>
        <w:tc>
          <w:tcPr>
            <w:tcW w:type="dxa" w:w="3800"/>
            <w:tcMar>
              <w:top w:type="dxa" w:w="60"/>
              <w:left w:type="dxa" w:w="100"/>
              <w:bottom w:type="dxa" w:w="60"/>
              <w:right w:type="dxa" w:w="100"/>
            </w:tcMar>
          </w:tcPr>
          <w:p>
            <w:r>
              <w:rPr>
                <w:b w:val="false"/>
                <w:bCs w:val="false"/>
                <w:sz w:val="19"/>
                <w:szCs w:val="19"/>
              </w:rPr>
              <w:t xml:space="preserve">Proven tech-pilot partner (e.g. Namma Yatri accessibility integration)</w:t>
            </w:r>
          </w:p>
        </w:tc>
        <w:tc>
          <w:tcPr>
            <w:tcW w:type="dxa" w:w="2860"/>
            <w:tcMar>
              <w:top w:type="dxa" w:w="60"/>
              <w:left w:type="dxa" w:w="100"/>
              <w:bottom w:type="dxa" w:w="60"/>
              <w:right w:type="dxa" w:w="100"/>
            </w:tcMar>
          </w:tcPr>
          <w:p>
            <w:r>
              <w:rPr>
                <w:b w:val="false"/>
                <w:bCs w:val="false"/>
                <w:sz w:val="19"/>
                <w:szCs w:val="19"/>
              </w:rPr>
              <w:t xml:space="preserve">enableindia.org</w:t>
            </w:r>
          </w:p>
        </w:tc>
      </w:tr>
      <w:tr>
        <w:tc>
          <w:tcPr>
            <w:tcW w:type="dxa" w:w="2700"/>
            <w:tcMar>
              <w:top w:type="dxa" w:w="60"/>
              <w:left w:type="dxa" w:w="100"/>
              <w:bottom w:type="dxa" w:w="60"/>
              <w:right w:type="dxa" w:w="100"/>
            </w:tcMar>
          </w:tcPr>
          <w:p>
            <w:r>
              <w:rPr>
                <w:b w:val="false"/>
                <w:bCs w:val="false"/>
                <w:sz w:val="19"/>
                <w:szCs w:val="19"/>
              </w:rPr>
              <w:t xml:space="preserve">India Signing Hands</w:t>
            </w:r>
          </w:p>
        </w:tc>
        <w:tc>
          <w:tcPr>
            <w:tcW w:type="dxa" w:w="3800"/>
            <w:tcMar>
              <w:top w:type="dxa" w:w="60"/>
              <w:left w:type="dxa" w:w="100"/>
              <w:bottom w:type="dxa" w:w="60"/>
              <w:right w:type="dxa" w:w="100"/>
            </w:tcMar>
          </w:tcPr>
          <w:p>
            <w:r>
              <w:rPr>
                <w:b w:val="false"/>
                <w:bCs w:val="false"/>
                <w:sz w:val="19"/>
                <w:szCs w:val="19"/>
              </w:rPr>
              <w:t xml:space="preserve">Active ISL remote-interpreting company; captions are complementary to their service</w:t>
            </w:r>
          </w:p>
        </w:tc>
        <w:tc>
          <w:tcPr>
            <w:tcW w:type="dxa" w:w="2860"/>
            <w:tcMar>
              <w:top w:type="dxa" w:w="60"/>
              <w:left w:type="dxa" w:w="100"/>
              <w:bottom w:type="dxa" w:w="60"/>
              <w:right w:type="dxa" w:w="100"/>
            </w:tcMar>
          </w:tcPr>
          <w:p>
            <w:r>
              <w:rPr>
                <w:b w:val="false"/>
                <w:bCs w:val="false"/>
                <w:sz w:val="19"/>
                <w:szCs w:val="19"/>
              </w:rPr>
              <w:t xml:space="preserve">indiasigninghands.com</w:t>
            </w:r>
          </w:p>
        </w:tc>
      </w:tr>
    </w:tbl>
    <w:p>
      <w:pPr>
        <w:spacing w:after="120"/>
      </w:pPr>
      <w:r>
        <w:rPr>
          <w:sz w:val="21"/>
          <w:szCs w:val="21"/>
        </w:rPr>
        <w:t xml:space="preserve"/>
      </w:r>
    </w:p>
    <w:p>
      <w:pPr>
        <w:pStyle w:val="Heading2"/>
        <w:spacing w:after="100" w:before="200"/>
      </w:pPr>
      <w:r>
        <w:rPr>
          <w:b/>
          <w:bCs/>
          <w:color w:val="2E5A88"/>
          <w:sz w:val="24"/>
          <w:szCs w:val="24"/>
        </w:rPr>
        <w:t xml:space="preserve">5.3 Elderly-focused NGOs (pilot as a free offer through their programs)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2860"/>
      </w:tblGrid>
      <w:tr>
        <w:tc>
          <w:tcPr>
            <w:tcW w:type="dxa" w:w="2500"/>
            <w:shd w:fill="D9E2F3" w:val="clear"/>
            <w:tcMar>
              <w:top w:type="dxa" w:w="60"/>
              <w:left w:type="dxa" w:w="100"/>
              <w:bottom w:type="dxa" w:w="60"/>
              <w:right w:type="dxa" w:w="100"/>
            </w:tcMar>
          </w:tcPr>
          <w:p>
            <w:r>
              <w:rPr>
                <w:b/>
                <w:bCs/>
                <w:sz w:val="19"/>
                <w:szCs w:val="19"/>
              </w:rPr>
              <w:t xml:space="preserve">Organisation</w:t>
            </w:r>
          </w:p>
        </w:tc>
        <w:tc>
          <w:tcPr>
            <w:tcW w:type="dxa" w:w="4000"/>
            <w:shd w:fill="D9E2F3" w:val="clear"/>
            <w:tcMar>
              <w:top w:type="dxa" w:w="60"/>
              <w:left w:type="dxa" w:w="100"/>
              <w:bottom w:type="dxa" w:w="60"/>
              <w:right w:type="dxa" w:w="100"/>
            </w:tcMar>
          </w:tcPr>
          <w:p>
            <w:r>
              <w:rPr>
                <w:b/>
                <w:bCs/>
                <w:sz w:val="19"/>
                <w:szCs w:val="19"/>
              </w:rPr>
              <w:t xml:space="preserve">Angle</w:t>
            </w:r>
          </w:p>
        </w:tc>
        <w:tc>
          <w:tcPr>
            <w:tcW w:type="dxa" w:w="2860"/>
            <w:shd w:fill="D9E2F3" w:val="clear"/>
            <w:tcMar>
              <w:top w:type="dxa" w:w="60"/>
              <w:left w:type="dxa" w:w="100"/>
              <w:bottom w:type="dxa" w:w="60"/>
              <w:right w:type="dxa" w:w="100"/>
            </w:tcMar>
          </w:tcPr>
          <w:p>
            <w:r>
              <w:rPr>
                <w:b/>
                <w:bCs/>
                <w:sz w:val="19"/>
                <w:szCs w:val="19"/>
              </w:rPr>
              <w:t xml:space="preserve">Route</w:t>
            </w:r>
          </w:p>
        </w:tc>
      </w:tr>
      <w:tr>
        <w:tc>
          <w:tcPr>
            <w:tcW w:type="dxa" w:w="2500"/>
            <w:tcMar>
              <w:top w:type="dxa" w:w="60"/>
              <w:left w:type="dxa" w:w="100"/>
              <w:bottom w:type="dxa" w:w="60"/>
              <w:right w:type="dxa" w:w="100"/>
            </w:tcMar>
          </w:tcPr>
          <w:p>
            <w:r>
              <w:rPr>
                <w:b w:val="false"/>
                <w:bCs w:val="false"/>
                <w:sz w:val="19"/>
                <w:szCs w:val="19"/>
              </w:rPr>
              <w:t xml:space="preserve">HelpAge India</w:t>
            </w:r>
          </w:p>
        </w:tc>
        <w:tc>
          <w:tcPr>
            <w:tcW w:type="dxa" w:w="4000"/>
            <w:tcMar>
              <w:top w:type="dxa" w:w="60"/>
              <w:left w:type="dxa" w:w="100"/>
              <w:bottom w:type="dxa" w:w="60"/>
              <w:right w:type="dxa" w:w="100"/>
            </w:tcMar>
          </w:tcPr>
          <w:p>
            <w:r>
              <w:rPr>
                <w:b w:val="false"/>
                <w:bCs w:val="false"/>
                <w:sz w:val="19"/>
                <w:szCs w:val="19"/>
              </w:rPr>
              <w:t xml:space="preserve">Largest elder NGO; Elder Helpline (14567) network; track record of corporate/tech partnerships</w:t>
            </w:r>
          </w:p>
        </w:tc>
        <w:tc>
          <w:tcPr>
            <w:tcW w:type="dxa" w:w="2860"/>
            <w:tcMar>
              <w:top w:type="dxa" w:w="60"/>
              <w:left w:type="dxa" w:w="100"/>
              <w:bottom w:type="dxa" w:w="60"/>
              <w:right w:type="dxa" w:w="100"/>
            </w:tcMar>
          </w:tcPr>
          <w:p>
            <w:r>
              <w:rPr>
                <w:b w:val="false"/>
                <w:bCs w:val="false"/>
                <w:sz w:val="19"/>
                <w:szCs w:val="19"/>
              </w:rPr>
              <w:t xml:space="preserve">helpageindia.org/partners</w:t>
            </w:r>
          </w:p>
        </w:tc>
      </w:tr>
      <w:tr>
        <w:tc>
          <w:tcPr>
            <w:tcW w:type="dxa" w:w="2500"/>
            <w:tcMar>
              <w:top w:type="dxa" w:w="60"/>
              <w:left w:type="dxa" w:w="100"/>
              <w:bottom w:type="dxa" w:w="60"/>
              <w:right w:type="dxa" w:w="100"/>
            </w:tcMar>
          </w:tcPr>
          <w:p>
            <w:r>
              <w:rPr>
                <w:b w:val="false"/>
                <w:bCs w:val="false"/>
                <w:sz w:val="19"/>
                <w:szCs w:val="19"/>
              </w:rPr>
              <w:t xml:space="preserve">Dignity Foundation (Mumbai)</w:t>
            </w:r>
          </w:p>
        </w:tc>
        <w:tc>
          <w:tcPr>
            <w:tcW w:type="dxa" w:w="4000"/>
            <w:tcMar>
              <w:top w:type="dxa" w:w="60"/>
              <w:left w:type="dxa" w:w="100"/>
              <w:bottom w:type="dxa" w:w="60"/>
              <w:right w:type="dxa" w:w="100"/>
            </w:tcMar>
          </w:tcPr>
          <w:p>
            <w:r>
              <w:rPr>
                <w:b w:val="false"/>
                <w:bCs w:val="false"/>
                <w:sz w:val="19"/>
                <w:szCs w:val="19"/>
              </w:rPr>
              <w:t xml:space="preserve">Helpline + Chai Masti community centres in 6+ cities — ready-made elderly user groups</w:t>
            </w:r>
          </w:p>
        </w:tc>
        <w:tc>
          <w:tcPr>
            <w:tcW w:type="dxa" w:w="2860"/>
            <w:tcMar>
              <w:top w:type="dxa" w:w="60"/>
              <w:left w:type="dxa" w:w="100"/>
              <w:bottom w:type="dxa" w:w="60"/>
              <w:right w:type="dxa" w:w="100"/>
            </w:tcMar>
          </w:tcPr>
          <w:p>
            <w:r>
              <w:rPr>
                <w:b w:val="false"/>
                <w:bCs w:val="false"/>
                <w:sz w:val="19"/>
                <w:szCs w:val="19"/>
              </w:rPr>
              <w:t xml:space="preserve">dignityfoundation.com</w:t>
            </w:r>
          </w:p>
        </w:tc>
      </w:tr>
      <w:tr>
        <w:tc>
          <w:tcPr>
            <w:tcW w:type="dxa" w:w="2500"/>
            <w:tcMar>
              <w:top w:type="dxa" w:w="60"/>
              <w:left w:type="dxa" w:w="100"/>
              <w:bottom w:type="dxa" w:w="60"/>
              <w:right w:type="dxa" w:w="100"/>
            </w:tcMar>
          </w:tcPr>
          <w:p>
            <w:r>
              <w:rPr>
                <w:b w:val="false"/>
                <w:bCs w:val="false"/>
                <w:sz w:val="19"/>
                <w:szCs w:val="19"/>
              </w:rPr>
              <w:t xml:space="preserve">Agewell Foundation (Delhi)</w:t>
            </w:r>
          </w:p>
        </w:tc>
        <w:tc>
          <w:tcPr>
            <w:tcW w:type="dxa" w:w="4000"/>
            <w:tcMar>
              <w:top w:type="dxa" w:w="60"/>
              <w:left w:type="dxa" w:w="100"/>
              <w:bottom w:type="dxa" w:w="60"/>
              <w:right w:type="dxa" w:w="100"/>
            </w:tcMar>
          </w:tcPr>
          <w:p>
            <w:r>
              <w:rPr>
                <w:b w:val="false"/>
                <w:bCs w:val="false"/>
                <w:sz w:val="19"/>
                <w:szCs w:val="19"/>
              </w:rPr>
              <w:t xml:space="preserve">~1,500-volunteer district network; digital-literacy-for-elders advocacy</w:t>
            </w:r>
          </w:p>
        </w:tc>
        <w:tc>
          <w:tcPr>
            <w:tcW w:type="dxa" w:w="2860"/>
            <w:tcMar>
              <w:top w:type="dxa" w:w="60"/>
              <w:left w:type="dxa" w:w="100"/>
              <w:bottom w:type="dxa" w:w="60"/>
              <w:right w:type="dxa" w:w="100"/>
            </w:tcMar>
          </w:tcPr>
          <w:p>
            <w:r>
              <w:rPr>
                <w:b w:val="false"/>
                <w:bCs w:val="false"/>
                <w:sz w:val="19"/>
                <w:szCs w:val="19"/>
              </w:rPr>
              <w:t xml:space="preserve">agewellfoundation.org</w:t>
            </w:r>
          </w:p>
        </w:tc>
      </w:tr>
    </w:tbl>
    <w:p>
      <w:pPr>
        <w:spacing w:after="120"/>
      </w:pPr>
      <w:r>
        <w:rPr>
          <w:sz w:val="21"/>
          <w:szCs w:val="21"/>
        </w:rPr>
        <w:t xml:space="preserve"/>
      </w:r>
    </w:p>
    <w:p>
      <w:pPr>
        <w:spacing w:after="120"/>
      </w:pPr>
      <w:r>
        <w:rPr>
          <w:sz w:val="21"/>
          <w:szCs w:val="21"/>
        </w:rPr>
        <w:t xml:space="preserve">Verification notes: Ishara Foundation (Mumbai) has minimal current web presence — verify by phone before pitching; no active Indian NGO named 'Sound of Silence' could be confirmed; ATscale/WHO operates government-to-government and is not a practical route for a solo founder.</w:t>
      </w:r>
    </w:p>
    <w:p>
      <w:pPr>
        <w:pStyle w:val="Heading1"/>
        <w:spacing w:after="120" w:before="280"/>
      </w:pPr>
      <w:r>
        <w:rPr>
          <w:b/>
          <w:bCs/>
          <w:color w:val="1F3864"/>
          <w:sz w:val="28"/>
          <w:szCs w:val="28"/>
        </w:rPr>
        <w:t xml:space="preserve">6. CSR money — how it actually flows</w:t>
      </w:r>
    </w:p>
    <w:p>
      <w:pPr>
        <w:spacing w:after="120"/>
      </w:pPr>
      <w:r>
        <w:rPr>
          <w:sz w:val="21"/>
          <w:szCs w:val="21"/>
        </w:rPr>
        <w:t xml:space="preserve">Companies Act Section 135 CSR must go to registered implementing agencies (NGOs with 12A/80G/CSR-1), so a for-profit founder cannot receive it directly. The two working models: (1) an NGO partner (DEF, HelpAge, AYJNISHD) receives CSR funds for a pilot and pays for your technology/service; (2) CSR-backed intermediaries fund you as a startup — Mphasis F1 Foundation is the most disability-tech-committed CSR in India and funds through NCPEDP and Social Alpha, so applying to those programs is applying to Mphasis. Tech Mahindra Foundation has a named Disability &amp; Employment vertical (via NGO partners). Wipro Foundation, Azim Premji Foundation and HDFC Parivartan are poor fits for a for-profit AT startup — deprioritise.</w:t>
      </w:r>
    </w:p>
    <w:p>
      <w:pPr>
        <w:pStyle w:val="Heading1"/>
        <w:spacing w:after="120" w:before="280"/>
      </w:pPr>
      <w:r>
        <w:rPr>
          <w:b/>
          <w:bCs/>
          <w:color w:val="1F3864"/>
          <w:sz w:val="28"/>
          <w:szCs w:val="28"/>
        </w:rPr>
        <w:t xml:space="preserve">7. Policy long game</w:t>
      </w:r>
    </w:p>
    <w:p>
      <w:pPr>
        <w:spacing w:after="120"/>
      </w:pPr>
      <w:r>
        <w:rPr>
          <w:sz w:val="21"/>
          <w:szCs w:val="21"/>
        </w:rPr>
        <w:t xml:space="preserve">TRAI's July 2018 'Recommendations on Making ICT Accessible for Persons with Disabilities' recommended services for hearing-impaired users but was never made binding, and India has no mandated captioned-telephone (TRS/IP-CTS) service. Use this in every pitch, and over time: respond to TRAI accessibility consultations, engage the Broadband India Forum and NCPEDP as policy allies, and position SunoSathi as the reference implementation if DoT/TRAI ever mandate or fund call captioning. Sec 42 of the RPWD Act 2016 (accessible ICT) is your statutory hook when writing to DEPwD.</w:t>
      </w:r>
    </w:p>
    <w:p>
      <w:pPr>
        <w:pStyle w:val="Heading1"/>
        <w:spacing w:after="120" w:before="280"/>
      </w:pPr>
      <w:r>
        <w:rPr>
          <w:b/>
          <w:bCs/>
          <w:color w:val="1F3864"/>
          <w:sz w:val="28"/>
          <w:szCs w:val="28"/>
        </w:rPr>
        <w:t xml:space="preserve">8. 90-day action plan</w:t>
      </w:r>
    </w:p>
    <w:p>
      <w:pPr>
        <w:pStyle w:val="ListParagraph"/>
        <w:numPr>
          <w:ilvl w:val="0"/>
          <w:numId w:val="2"/>
        </w:numPr>
        <w:spacing w:after="80"/>
      </w:pPr>
      <w:r>
        <w:rPr>
          <w:b/>
          <w:bCs/>
          <w:sz w:val="21"/>
          <w:szCs w:val="21"/>
        </w:rPr>
        <w:t xml:space="preserve">Weeks 1–2: </w:t>
      </w:r>
      <w:r>
        <w:rPr>
          <w:sz w:val="21"/>
          <w:szCs w:val="21"/>
        </w:rPr>
        <w:t xml:space="preserve">Prepare a 10-slide deck + 2-page concept note (problem, demo video, Sarvam/Bhashini tech, pilot plan, ask). Record a 2-minute demo of a live captioned call — this asset does more work than any document.</w:t>
      </w:r>
    </w:p>
    <w:p>
      <w:pPr>
        <w:pStyle w:val="ListParagraph"/>
        <w:numPr>
          <w:ilvl w:val="0"/>
          <w:numId w:val="2"/>
        </w:numPr>
        <w:spacing w:after="80"/>
      </w:pPr>
      <w:r>
        <w:rPr>
          <w:b/>
          <w:bCs/>
          <w:sz w:val="21"/>
          <w:szCs w:val="21"/>
        </w:rPr>
        <w:t xml:space="preserve">Weeks 1–4: </w:t>
      </w:r>
      <w:r>
        <w:rPr>
          <w:sz w:val="21"/>
          <w:szCs w:val="21"/>
        </w:rPr>
        <w:t xml:space="preserve">Apply: NIDHI-PRAYAS via nearest PRAYAS Centre; ATF Enable; NCPEDP–Mphasis Universal Design Awards 2026; check Bhashini for an open challenge round and integrate Bhashini ASR/TTS as an alternate provider (your provider-adapter architecture already supports this).</w:t>
      </w:r>
    </w:p>
    <w:p>
      <w:pPr>
        <w:pStyle w:val="ListParagraph"/>
        <w:numPr>
          <w:ilvl w:val="0"/>
          <w:numId w:val="2"/>
        </w:numPr>
        <w:spacing w:after="80"/>
      </w:pPr>
      <w:r>
        <w:rPr>
          <w:b/>
          <w:bCs/>
          <w:sz w:val="21"/>
          <w:szCs w:val="21"/>
        </w:rPr>
        <w:t xml:space="preserve">Weeks 3–6: </w:t>
      </w:r>
      <w:r>
        <w:rPr>
          <w:sz w:val="21"/>
          <w:szCs w:val="21"/>
        </w:rPr>
        <w:t xml:space="preserve">Email DEF (Ahmedabad/Mumbai) and HelpAge India offering a free 10–20 user pilot; write to AYJNISHD Director proposing a small clinical-validation study. Aim for one signed pilot letter — it transforms every later application.</w:t>
      </w:r>
    </w:p>
    <w:p>
      <w:pPr>
        <w:pStyle w:val="ListParagraph"/>
        <w:numPr>
          <w:ilvl w:val="0"/>
          <w:numId w:val="2"/>
        </w:numPr>
        <w:spacing w:after="80"/>
      </w:pPr>
      <w:r>
        <w:rPr>
          <w:b/>
          <w:bCs/>
          <w:sz w:val="21"/>
          <w:szCs w:val="21"/>
        </w:rPr>
        <w:t xml:space="preserve">Weeks 6–10: </w:t>
      </w:r>
      <w:r>
        <w:rPr>
          <w:sz w:val="21"/>
          <w:szCs w:val="21"/>
        </w:rPr>
        <w:t xml:space="preserve">Run the first pilot; collect usage data, caption-accuracy metrics (WER by language) and 5+ user testimonials. Also verify unit economics: Sarvam streaming STT cost per call-minute vs a viable subsidised price.</w:t>
      </w:r>
    </w:p>
    <w:p>
      <w:pPr>
        <w:pStyle w:val="ListParagraph"/>
        <w:numPr>
          <w:ilvl w:val="0"/>
          <w:numId w:val="2"/>
        </w:numPr>
        <w:spacing w:after="80"/>
      </w:pPr>
      <w:r>
        <w:rPr>
          <w:b/>
          <w:bCs/>
          <w:sz w:val="21"/>
          <w:szCs w:val="21"/>
        </w:rPr>
        <w:t xml:space="preserve">Weeks 8–12: </w:t>
      </w:r>
      <w:r>
        <w:rPr>
          <w:sz w:val="21"/>
          <w:szCs w:val="21"/>
        </w:rPr>
        <w:t xml:space="preserve">Incorporate Pvt Ltd + DPIIT recognition; apply to SISFS (choose AT-friendly incubators: IITM ecosystem, iCreate, Social Alpha) and Social Alpha/Techtonic with pilot evidence attached.</w:t>
      </w:r>
    </w:p>
    <w:p>
      <w:pPr>
        <w:pStyle w:val="Heading1"/>
        <w:spacing w:after="120" w:before="280"/>
      </w:pPr>
      <w:r>
        <w:rPr>
          <w:b/>
          <w:bCs/>
          <w:color w:val="1F3864"/>
          <w:sz w:val="28"/>
          <w:szCs w:val="28"/>
        </w:rPr>
        <w:t xml:space="preserve">9. Risks to address in your pitch</w:t>
      </w:r>
    </w:p>
    <w:p>
      <w:pPr>
        <w:pStyle w:val="ListParagraph"/>
        <w:numPr>
          <w:ilvl w:val="0"/>
          <w:numId w:val="2"/>
        </w:numPr>
        <w:spacing w:after="80"/>
      </w:pPr>
      <w:r>
        <w:rPr>
          <w:b/>
          <w:bCs/>
          <w:sz w:val="21"/>
          <w:szCs w:val="21"/>
        </w:rPr>
        <w:t xml:space="preserve">Accuracy in noisy calls: </w:t>
      </w:r>
      <w:r>
        <w:rPr>
          <w:sz w:val="21"/>
          <w:szCs w:val="21"/>
        </w:rPr>
        <w:t xml:space="preserve">publish honest WER numbers per language; captions with errors can be worse than none in banking/medical calls — add a disclaimer flow.</w:t>
      </w:r>
    </w:p>
    <w:p>
      <w:pPr>
        <w:pStyle w:val="ListParagraph"/>
        <w:numPr>
          <w:ilvl w:val="0"/>
          <w:numId w:val="2"/>
        </w:numPr>
        <w:spacing w:after="80"/>
      </w:pPr>
      <w:r>
        <w:rPr>
          <w:b/>
          <w:bCs/>
          <w:sz w:val="21"/>
          <w:szCs w:val="21"/>
        </w:rPr>
        <w:t xml:space="preserve">Privacy: </w:t>
      </w:r>
      <w:r>
        <w:rPr>
          <w:sz w:val="21"/>
          <w:szCs w:val="21"/>
        </w:rPr>
        <w:t xml:space="preserve">call audio goes to a cloud STT provider; you will need explicit consent flows and a clear data-retention policy (DPDP Act 2023 compliance) before any NGO or government pilot.</w:t>
      </w:r>
    </w:p>
    <w:p>
      <w:pPr>
        <w:pStyle w:val="ListParagraph"/>
        <w:numPr>
          <w:ilvl w:val="0"/>
          <w:numId w:val="2"/>
        </w:numPr>
        <w:spacing w:after="80"/>
      </w:pPr>
      <w:r>
        <w:rPr>
          <w:b/>
          <w:bCs/>
          <w:sz w:val="21"/>
          <w:szCs w:val="21"/>
        </w:rPr>
        <w:t xml:space="preserve">Cost model: </w:t>
      </w:r>
      <w:r>
        <w:rPr>
          <w:sz w:val="21"/>
          <w:szCs w:val="21"/>
        </w:rPr>
        <w:t xml:space="preserve">grants fund pilots, but sustainability likely means B2B (banks, telecom, insurers making their call centres accessible) or CSR-subsidised B2C — say so; funders reward realism.</w:t>
      </w:r>
    </w:p>
    <w:p>
      <w:pPr>
        <w:pStyle w:val="ListParagraph"/>
        <w:numPr>
          <w:ilvl w:val="0"/>
          <w:numId w:val="2"/>
        </w:numPr>
        <w:spacing w:after="80"/>
      </w:pPr>
      <w:r>
        <w:rPr>
          <w:b/>
          <w:bCs/>
          <w:sz w:val="21"/>
          <w:szCs w:val="21"/>
        </w:rPr>
        <w:t xml:space="preserve">Sole-founder risk: </w:t>
      </w:r>
      <w:r>
        <w:rPr>
          <w:sz w:val="21"/>
          <w:szCs w:val="21"/>
        </w:rPr>
        <w:t xml:space="preserve">accelerators will probe this; a part-time accessibility-domain advisor (e.g. from the NGO pilots) mitigates it.</w:t>
      </w:r>
    </w:p>
    <w:p>
      <w:pPr>
        <w:spacing w:before="300"/>
      </w:pPr>
      <w:r>
        <w:rPr>
          <w:i/>
          <w:iCs/>
          <w:color w:val="666666"/>
          <w:sz w:val="18"/>
          <w:szCs w:val="18"/>
        </w:rPr>
        <w:t xml:space="preserve">Prepared as consulting research; scheme details and deadlines change — verify on the linked portals before applying. Key sources: depwd.gov.in, nidhi.dst.gov.in, bhashini.gov.in, msh.meity.gov.in, startupindia.gov.in, atflabs.org, socialalpha.org, ncpedp.org, trai.gov.in, helpageindia.org, def.org.in.</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2026-07-27T12:03:35.829Z</dcterms:created>
  <dcterms:modified xsi:type="dcterms:W3CDTF">2026-07-27T12:03:35.856Z</dcterms:modified>
</cp:coreProperties>
</file>

<file path=docProps/custom.xml><?xml version="1.0" encoding="utf-8"?>
<Properties xmlns="http://schemas.openxmlformats.org/officeDocument/2006/custom-properties" xmlns:vt="http://schemas.openxmlformats.org/officeDocument/2006/docPropsVTypes"/>
</file>