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C7" w:rsidRDefault="00B53CC7">
      <w:r>
        <w:t xml:space="preserve">Joshua Stevens,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Philar</w:t>
      </w:r>
      <w:proofErr w:type="spellEnd"/>
    </w:p>
    <w:p w:rsidR="00B53CC7" w:rsidRDefault="00B53CC7">
      <w:r>
        <w:t>ECE 506</w:t>
      </w:r>
    </w:p>
    <w:p w:rsidR="00B53CC7" w:rsidRDefault="00B53CC7" w:rsidP="00B53CC7">
      <w:pPr>
        <w:jc w:val="center"/>
      </w:pPr>
      <w:r>
        <w:t>Program Report 3</w:t>
      </w:r>
    </w:p>
    <w:p w:rsidR="00B53CC7" w:rsidRPr="00C2350F" w:rsidRDefault="00C2350F" w:rsidP="00C2350F">
      <w:pPr>
        <w:jc w:val="center"/>
        <w:rPr>
          <w:b/>
          <w:sz w:val="36"/>
          <w:szCs w:val="36"/>
        </w:rPr>
      </w:pPr>
      <w:r w:rsidRPr="00C2350F">
        <w:rPr>
          <w:b/>
          <w:sz w:val="36"/>
          <w:szCs w:val="36"/>
        </w:rPr>
        <w:t>Results</w:t>
      </w:r>
    </w:p>
    <w:tbl>
      <w:tblPr>
        <w:tblW w:w="9721" w:type="dxa"/>
        <w:tblInd w:w="10" w:type="dxa"/>
        <w:tblLook w:val="04A0" w:firstRow="1" w:lastRow="0" w:firstColumn="1" w:lastColumn="0" w:noHBand="0" w:noVBand="1"/>
      </w:tblPr>
      <w:tblGrid>
        <w:gridCol w:w="4026"/>
        <w:gridCol w:w="1139"/>
        <w:gridCol w:w="1139"/>
        <w:gridCol w:w="1139"/>
        <w:gridCol w:w="1139"/>
        <w:gridCol w:w="1139"/>
      </w:tblGrid>
      <w:tr w:rsidR="00622D7C" w:rsidRPr="00622D7C" w:rsidTr="00B53CC7">
        <w:trPr>
          <w:trHeight w:val="300"/>
        </w:trPr>
        <w:tc>
          <w:tcPr>
            <w:tcW w:w="9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Simulation results (Cache 0)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32kB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64kB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128kB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256kB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512kB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6359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6032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5817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5746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5721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0.051323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0.048602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0.046789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0.046219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0.045994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2168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1801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1616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1543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1990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1940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1889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1873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1852</w:t>
            </w:r>
          </w:p>
        </w:tc>
      </w:tr>
      <w:tr w:rsidR="00622D7C" w:rsidRPr="00622D7C" w:rsidTr="00B53CC7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4748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4538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4373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4316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4295</w:t>
            </w:r>
          </w:p>
        </w:tc>
      </w:tr>
    </w:tbl>
    <w:p w:rsidR="00996E3F" w:rsidRDefault="00996E3F"/>
    <w:p w:rsidR="00622D7C" w:rsidRDefault="00622D7C" w:rsidP="00B53CC7">
      <w:pPr>
        <w:jc w:val="center"/>
      </w:pPr>
      <w:r>
        <w:rPr>
          <w:noProof/>
        </w:rPr>
        <w:drawing>
          <wp:inline distT="0" distB="0" distL="0" distR="0" wp14:anchorId="0ABB5DA5" wp14:editId="2C127CB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F52D9" w:rsidRDefault="00AF52D9"/>
    <w:p w:rsidR="00622D7C" w:rsidRDefault="00AF52D9">
      <w:r>
        <w:t>For Cache 0,</w:t>
      </w:r>
    </w:p>
    <w:p w:rsidR="00B53CC7" w:rsidRDefault="00B53CC7">
      <w:r>
        <w:t>As the Cache Size increase, there is a reduction in number of read misses, number of write misses. Because there is a reduction in the number of read and write misses, there will be a reduction in the total miss rate. There is a reduction in the number of writebacks</w:t>
      </w:r>
      <w:r w:rsidR="00AF52D9">
        <w:t xml:space="preserve">, </w:t>
      </w:r>
      <w:r>
        <w:t>invalidations</w:t>
      </w:r>
      <w:r w:rsidR="00AF52D9">
        <w:t xml:space="preserve"> </w:t>
      </w:r>
      <w:proofErr w:type="spellStart"/>
      <w:r w:rsidR="00AF52D9">
        <w:t>abd</w:t>
      </w:r>
      <w:proofErr w:type="spellEnd"/>
      <w:r w:rsidR="00AF52D9" w:rsidRPr="00AF52D9">
        <w:t xml:space="preserve"> </w:t>
      </w:r>
      <w:r w:rsidR="00AF52D9">
        <w:t xml:space="preserve">cache-to-cache transactions.    </w:t>
      </w:r>
    </w:p>
    <w:p w:rsidR="00AF52D9" w:rsidRDefault="00AF52D9"/>
    <w:tbl>
      <w:tblPr>
        <w:tblW w:w="9721" w:type="dxa"/>
        <w:tblInd w:w="5" w:type="dxa"/>
        <w:tblLook w:val="04A0" w:firstRow="1" w:lastRow="0" w:firstColumn="1" w:lastColumn="0" w:noHBand="0" w:noVBand="1"/>
      </w:tblPr>
      <w:tblGrid>
        <w:gridCol w:w="4026"/>
        <w:gridCol w:w="1139"/>
        <w:gridCol w:w="1139"/>
        <w:gridCol w:w="1139"/>
        <w:gridCol w:w="1139"/>
        <w:gridCol w:w="1139"/>
      </w:tblGrid>
      <w:tr w:rsidR="00622D7C" w:rsidRPr="00622D7C" w:rsidTr="00622D7C">
        <w:trPr>
          <w:trHeight w:val="300"/>
        </w:trPr>
        <w:tc>
          <w:tcPr>
            <w:tcW w:w="9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1)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32kB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64kB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128kB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256kB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512kB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6391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6057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5845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5780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5762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0.052465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0.049641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0.047813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0.047266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0.047095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2131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1985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1584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1509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1958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1902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1884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1862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1618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1538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1481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1468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1463</w:t>
            </w:r>
          </w:p>
        </w:tc>
      </w:tr>
    </w:tbl>
    <w:p w:rsidR="009E6BD4" w:rsidRDefault="009E6BD4"/>
    <w:p w:rsidR="009E6BD4" w:rsidRDefault="009E6BD4" w:rsidP="00AF52D9">
      <w:pPr>
        <w:jc w:val="center"/>
      </w:pPr>
      <w:r>
        <w:rPr>
          <w:noProof/>
        </w:rPr>
        <w:drawing>
          <wp:inline distT="0" distB="0" distL="0" distR="0" wp14:anchorId="54EE2922" wp14:editId="3834FD0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22D7C" w:rsidRDefault="00622D7C"/>
    <w:p w:rsidR="00AF52D9" w:rsidRDefault="00AF52D9" w:rsidP="00AF52D9">
      <w:r>
        <w:t>For Cache 1,</w:t>
      </w:r>
    </w:p>
    <w:p w:rsidR="00AF52D9" w:rsidRDefault="00AF52D9" w:rsidP="00AF52D9">
      <w:r>
        <w:t xml:space="preserve">As the Cache Size increase, there is a reduction in number of read misses, number of write misses. Because there is a reduction in the number of read and write misses, there will be a reduction in the total miss rate. There is a reduction in the number of writebacks, invalidations and cache-to-cache transactions.    </w:t>
      </w:r>
    </w:p>
    <w:p w:rsidR="00622D7C" w:rsidRDefault="00622D7C"/>
    <w:p w:rsidR="009E6BD4" w:rsidRDefault="009E6BD4"/>
    <w:p w:rsidR="009E6BD4" w:rsidRDefault="009E6BD4"/>
    <w:p w:rsidR="009E6BD4" w:rsidRDefault="009E6BD4"/>
    <w:p w:rsidR="009E6BD4" w:rsidRDefault="009E6BD4"/>
    <w:p w:rsidR="009E6BD4" w:rsidRDefault="009E6BD4"/>
    <w:tbl>
      <w:tblPr>
        <w:tblW w:w="9720" w:type="dxa"/>
        <w:tblInd w:w="5" w:type="dxa"/>
        <w:tblLook w:val="04A0" w:firstRow="1" w:lastRow="0" w:firstColumn="1" w:lastColumn="0" w:noHBand="0" w:noVBand="1"/>
      </w:tblPr>
      <w:tblGrid>
        <w:gridCol w:w="4088"/>
        <w:gridCol w:w="1157"/>
        <w:gridCol w:w="1156"/>
        <w:gridCol w:w="1156"/>
        <w:gridCol w:w="1007"/>
        <w:gridCol w:w="1156"/>
      </w:tblGrid>
      <w:tr w:rsidR="00622D7C" w:rsidRPr="00622D7C" w:rsidTr="00622D7C">
        <w:trPr>
          <w:trHeight w:val="300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2)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32kB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64kB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128kB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256kB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512kB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6385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6033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5817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5748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5728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0.050439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0.047581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0.045798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0.04524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0.045059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2174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1812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1629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1544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1982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1927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1885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1869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1853</w:t>
            </w:r>
          </w:p>
        </w:tc>
      </w:tr>
      <w:tr w:rsidR="00622D7C" w:rsidRPr="00622D7C" w:rsidTr="00622D7C">
        <w:trPr>
          <w:trHeight w:val="300"/>
        </w:trPr>
        <w:tc>
          <w:tcPr>
            <w:tcW w:w="4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5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:rsidR="00622D7C" w:rsidRDefault="00622D7C"/>
    <w:p w:rsidR="00622D7C" w:rsidRDefault="009E6BD4" w:rsidP="00AF52D9">
      <w:pPr>
        <w:jc w:val="center"/>
      </w:pPr>
      <w:r>
        <w:rPr>
          <w:noProof/>
        </w:rPr>
        <w:drawing>
          <wp:inline distT="0" distB="0" distL="0" distR="0" wp14:anchorId="18B2F8F9" wp14:editId="7B021C99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2D7C" w:rsidRDefault="00622D7C"/>
    <w:p w:rsidR="00AF52D9" w:rsidRDefault="00AF52D9" w:rsidP="00AF52D9">
      <w:r>
        <w:t>For Cache 2,</w:t>
      </w:r>
    </w:p>
    <w:p w:rsidR="00AF52D9" w:rsidRDefault="00AF52D9" w:rsidP="00AF52D9">
      <w:r>
        <w:t xml:space="preserve">As the Cache Size increase, there is a reduction in number of read misses, number of write misses. Because there is a reduction in the number of read and write misses, there will be a reduction in the total miss rate. There is a reduction in the number of writebacks, invalidations and cache-to-cache transactions.    </w:t>
      </w:r>
    </w:p>
    <w:p w:rsidR="009E6BD4" w:rsidRDefault="009E6BD4"/>
    <w:p w:rsidR="009E6BD4" w:rsidRDefault="009E6BD4"/>
    <w:p w:rsidR="009E6BD4" w:rsidRDefault="009E6BD4"/>
    <w:p w:rsidR="009E6BD4" w:rsidRDefault="009E6BD4"/>
    <w:p w:rsidR="009E6BD4" w:rsidRDefault="009E6BD4"/>
    <w:p w:rsidR="00AF52D9" w:rsidRDefault="00AF52D9"/>
    <w:tbl>
      <w:tblPr>
        <w:tblW w:w="9721" w:type="dxa"/>
        <w:tblInd w:w="5" w:type="dxa"/>
        <w:tblLook w:val="04A0" w:firstRow="1" w:lastRow="0" w:firstColumn="1" w:lastColumn="0" w:noHBand="0" w:noVBand="1"/>
      </w:tblPr>
      <w:tblGrid>
        <w:gridCol w:w="4026"/>
        <w:gridCol w:w="1139"/>
        <w:gridCol w:w="1139"/>
        <w:gridCol w:w="1139"/>
        <w:gridCol w:w="1139"/>
        <w:gridCol w:w="1139"/>
      </w:tblGrid>
      <w:tr w:rsidR="00622D7C" w:rsidRPr="00622D7C" w:rsidTr="00622D7C">
        <w:trPr>
          <w:trHeight w:val="300"/>
        </w:trPr>
        <w:tc>
          <w:tcPr>
            <w:tcW w:w="97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3)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32kB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64kB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128kB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256kB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512kB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6405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6060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5850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5783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5761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0.051292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0.048456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0.046696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0.046146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0.045947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2211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2056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1824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1617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1542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1994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1938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1884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1865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1846</w:t>
            </w:r>
          </w:p>
        </w:tc>
      </w:tr>
      <w:tr w:rsidR="00622D7C" w:rsidRPr="00622D7C" w:rsidTr="00622D7C">
        <w:trPr>
          <w:trHeight w:val="300"/>
        </w:trPr>
        <w:tc>
          <w:tcPr>
            <w:tcW w:w="402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3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</w:tbl>
    <w:p w:rsidR="00622D7C" w:rsidRDefault="00622D7C"/>
    <w:p w:rsidR="00622D7C" w:rsidRDefault="009E6BD4" w:rsidP="00AF52D9">
      <w:pPr>
        <w:jc w:val="center"/>
      </w:pPr>
      <w:r>
        <w:rPr>
          <w:noProof/>
        </w:rPr>
        <w:drawing>
          <wp:inline distT="0" distB="0" distL="0" distR="0" wp14:anchorId="7DDC2D4C" wp14:editId="00880F48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2D7C" w:rsidRDefault="00622D7C"/>
    <w:p w:rsidR="00AF52D9" w:rsidRDefault="00AF52D9" w:rsidP="00AF52D9">
      <w:r>
        <w:t>For Cache 3,</w:t>
      </w:r>
    </w:p>
    <w:p w:rsidR="00AF52D9" w:rsidRDefault="00C2350F" w:rsidP="00AF52D9">
      <w:r>
        <w:t>As the cache s</w:t>
      </w:r>
      <w:r w:rsidR="00AF52D9">
        <w:t xml:space="preserve">ize increase, there is a reduction in number of read misses, number of write misses. Because there is a reduction in the number of read and write misses, there will be a reduction in the total miss rate. There is a reduction in the number of writebacks, invalidations and cache-to-cache transactions.    </w:t>
      </w:r>
    </w:p>
    <w:p w:rsidR="009E6BD4" w:rsidRDefault="009E6BD4"/>
    <w:p w:rsidR="009E6BD4" w:rsidRDefault="009E6BD4"/>
    <w:p w:rsidR="009E6BD4" w:rsidRDefault="009E6BD4"/>
    <w:p w:rsidR="009E6BD4" w:rsidRDefault="009E6BD4"/>
    <w:p w:rsidR="00AF52D9" w:rsidRDefault="00AF52D9"/>
    <w:p w:rsidR="009E6BD4" w:rsidRDefault="009E6BD4"/>
    <w:tbl>
      <w:tblPr>
        <w:tblW w:w="7801" w:type="dxa"/>
        <w:tblInd w:w="5" w:type="dxa"/>
        <w:tblLook w:val="04A0" w:firstRow="1" w:lastRow="0" w:firstColumn="1" w:lastColumn="0" w:noHBand="0" w:noVBand="1"/>
      </w:tblPr>
      <w:tblGrid>
        <w:gridCol w:w="4219"/>
        <w:gridCol w:w="1194"/>
        <w:gridCol w:w="1194"/>
        <w:gridCol w:w="1194"/>
      </w:tblGrid>
      <w:tr w:rsidR="00622D7C" w:rsidRPr="00622D7C" w:rsidTr="00622D7C">
        <w:trPr>
          <w:trHeight w:val="300"/>
        </w:trPr>
        <w:tc>
          <w:tcPr>
            <w:tcW w:w="7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0)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Block 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64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128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256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112661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5716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5293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4903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11942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0.045946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0.042559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0.039413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1520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1476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1401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1845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1801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1764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4291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3999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3717</w:t>
            </w:r>
          </w:p>
        </w:tc>
      </w:tr>
    </w:tbl>
    <w:p w:rsidR="00622D7C" w:rsidRDefault="00622D7C"/>
    <w:p w:rsidR="00622D7C" w:rsidRDefault="009E6BD4">
      <w:r>
        <w:rPr>
          <w:noProof/>
        </w:rPr>
        <w:drawing>
          <wp:inline distT="0" distB="0" distL="0" distR="0" wp14:anchorId="74372529" wp14:editId="54EFDF24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E6BD4" w:rsidRDefault="009E6BD4"/>
    <w:p w:rsidR="00AF52D9" w:rsidRDefault="00AF52D9" w:rsidP="00AF52D9">
      <w:r>
        <w:t>For Cache 0,</w:t>
      </w:r>
    </w:p>
    <w:p w:rsidR="00AF52D9" w:rsidRDefault="00C2350F" w:rsidP="00AF52D9">
      <w:r>
        <w:t>As the block si</w:t>
      </w:r>
      <w:r w:rsidR="00AF52D9">
        <w:t xml:space="preserve">ze increase, there is a reduction in number of read misses, number of write misses. Because there is a reduction in the number of read and write misses, there will be a reduction in the total miss rate. There is a reduction in the number of writebacks, invalidations and cache-to-cache transactions.    </w:t>
      </w:r>
    </w:p>
    <w:p w:rsidR="009E6BD4" w:rsidRDefault="009E6BD4"/>
    <w:p w:rsidR="009E6BD4" w:rsidRDefault="009E6BD4"/>
    <w:p w:rsidR="009E6BD4" w:rsidRDefault="009E6BD4"/>
    <w:p w:rsidR="009E6BD4" w:rsidRDefault="009E6BD4"/>
    <w:p w:rsidR="009E6BD4" w:rsidRDefault="009E6BD4"/>
    <w:p w:rsidR="009E6BD4" w:rsidRDefault="009E6BD4"/>
    <w:tbl>
      <w:tblPr>
        <w:tblW w:w="7800" w:type="dxa"/>
        <w:tblInd w:w="5" w:type="dxa"/>
        <w:tblLook w:val="04A0" w:firstRow="1" w:lastRow="0" w:firstColumn="1" w:lastColumn="0" w:noHBand="0" w:noVBand="1"/>
      </w:tblPr>
      <w:tblGrid>
        <w:gridCol w:w="4304"/>
        <w:gridCol w:w="1218"/>
        <w:gridCol w:w="1218"/>
        <w:gridCol w:w="1060"/>
      </w:tblGrid>
      <w:tr w:rsidR="00622D7C" w:rsidRPr="00622D7C" w:rsidTr="00622D7C">
        <w:trPr>
          <w:trHeight w:val="300"/>
        </w:trPr>
        <w:tc>
          <w:tcPr>
            <w:tcW w:w="7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1)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Block 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64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128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256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110830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5752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5346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4941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11710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0.047005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0.043692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0.04037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1490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1456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1428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1853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1801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1762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1462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1365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1252</w:t>
            </w:r>
          </w:p>
        </w:tc>
      </w:tr>
    </w:tbl>
    <w:p w:rsidR="00622D7C" w:rsidRDefault="00622D7C"/>
    <w:p w:rsidR="00622D7C" w:rsidRDefault="009E6BD4">
      <w:r>
        <w:rPr>
          <w:noProof/>
        </w:rPr>
        <w:drawing>
          <wp:inline distT="0" distB="0" distL="0" distR="0" wp14:anchorId="0E9006BC" wp14:editId="4669C492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E6BD4" w:rsidRDefault="009E6BD4"/>
    <w:p w:rsidR="00C2350F" w:rsidRDefault="00C2350F" w:rsidP="00C2350F">
      <w:r>
        <w:t>For Cache 1</w:t>
      </w:r>
      <w:r>
        <w:t>,</w:t>
      </w:r>
    </w:p>
    <w:p w:rsidR="00C2350F" w:rsidRDefault="00C2350F" w:rsidP="00C2350F">
      <w:r>
        <w:t xml:space="preserve">As the block size increase, there is a reduction in number of read misses, number of write misses. Because there is a reduction in the number of read and write misses, there will be a reduction in the total miss rate. There is a reduction in the number of writebacks, invalidations and cache-to-cache transactions.    </w:t>
      </w:r>
    </w:p>
    <w:p w:rsidR="009E6BD4" w:rsidRDefault="009E6BD4"/>
    <w:p w:rsidR="009E6BD4" w:rsidRDefault="009E6BD4"/>
    <w:p w:rsidR="009E6BD4" w:rsidRDefault="009E6BD4"/>
    <w:p w:rsidR="009E6BD4" w:rsidRDefault="009E6BD4"/>
    <w:p w:rsidR="00622D7C" w:rsidRDefault="00622D7C"/>
    <w:p w:rsidR="00C2350F" w:rsidRDefault="00C2350F"/>
    <w:tbl>
      <w:tblPr>
        <w:tblW w:w="7800" w:type="dxa"/>
        <w:tblInd w:w="5" w:type="dxa"/>
        <w:tblLook w:val="04A0" w:firstRow="1" w:lastRow="0" w:firstColumn="1" w:lastColumn="0" w:noHBand="0" w:noVBand="1"/>
      </w:tblPr>
      <w:tblGrid>
        <w:gridCol w:w="4304"/>
        <w:gridCol w:w="1218"/>
        <w:gridCol w:w="1218"/>
        <w:gridCol w:w="1060"/>
      </w:tblGrid>
      <w:tr w:rsidR="00622D7C" w:rsidRPr="00622D7C" w:rsidTr="00622D7C">
        <w:trPr>
          <w:trHeight w:val="300"/>
        </w:trPr>
        <w:tc>
          <w:tcPr>
            <w:tcW w:w="7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2)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Block 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64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128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256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114938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5723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5303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4905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12383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0.045012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0.041721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0.03858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1523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1480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1420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1844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1790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1763</w:t>
            </w:r>
          </w:p>
        </w:tc>
      </w:tr>
      <w:tr w:rsidR="00622D7C" w:rsidRPr="00622D7C" w:rsidTr="00622D7C">
        <w:trPr>
          <w:trHeight w:val="300"/>
        </w:trPr>
        <w:tc>
          <w:tcPr>
            <w:tcW w:w="430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1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:rsidR="00622D7C" w:rsidRDefault="00622D7C"/>
    <w:p w:rsidR="00622D7C" w:rsidRDefault="009E6BD4">
      <w:r>
        <w:rPr>
          <w:noProof/>
        </w:rPr>
        <w:drawing>
          <wp:inline distT="0" distB="0" distL="0" distR="0" wp14:anchorId="635F74F3" wp14:editId="5BFD5B03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2350F" w:rsidRDefault="00C2350F" w:rsidP="00C2350F">
      <w:r>
        <w:t>For Cache 2</w:t>
      </w:r>
      <w:r>
        <w:t>,</w:t>
      </w:r>
    </w:p>
    <w:p w:rsidR="00C2350F" w:rsidRDefault="00C2350F" w:rsidP="00C2350F">
      <w:r>
        <w:t xml:space="preserve">As the block size increase, there is a reduction in number of read misses, number of write misses. Because there is a reduction in the number of read and write misses, there will be a reduction in the total miss rate. There is a reduction in the number </w:t>
      </w:r>
      <w:r w:rsidR="000731B0">
        <w:t>of writebacks and</w:t>
      </w:r>
      <w:r w:rsidR="00C83F27">
        <w:t xml:space="preserve"> invalidations. There is an increase in the number of</w:t>
      </w:r>
      <w:r>
        <w:t xml:space="preserve"> cache-to-cache transactions.    </w:t>
      </w:r>
    </w:p>
    <w:p w:rsidR="009E6BD4" w:rsidRDefault="009E6BD4"/>
    <w:p w:rsidR="009E6BD4" w:rsidRDefault="009E6BD4"/>
    <w:p w:rsidR="009E6BD4" w:rsidRDefault="009E6BD4"/>
    <w:p w:rsidR="009E6BD4" w:rsidRDefault="009E6BD4"/>
    <w:p w:rsidR="009E6BD4" w:rsidRDefault="009E6BD4"/>
    <w:p w:rsidR="00622D7C" w:rsidRDefault="00622D7C"/>
    <w:p w:rsidR="00C2350F" w:rsidRDefault="00C2350F"/>
    <w:tbl>
      <w:tblPr>
        <w:tblW w:w="7801" w:type="dxa"/>
        <w:tblInd w:w="5" w:type="dxa"/>
        <w:tblLook w:val="04A0" w:firstRow="1" w:lastRow="0" w:firstColumn="1" w:lastColumn="0" w:noHBand="0" w:noVBand="1"/>
      </w:tblPr>
      <w:tblGrid>
        <w:gridCol w:w="4219"/>
        <w:gridCol w:w="1194"/>
        <w:gridCol w:w="1194"/>
        <w:gridCol w:w="1194"/>
      </w:tblGrid>
      <w:tr w:rsidR="00622D7C" w:rsidRPr="00622D7C" w:rsidTr="00622D7C">
        <w:trPr>
          <w:trHeight w:val="300"/>
        </w:trPr>
        <w:tc>
          <w:tcPr>
            <w:tcW w:w="7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lastRenderedPageBreak/>
              <w:t>Simulation results (Cache 3)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Block 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Size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64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128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256</w:t>
            </w:r>
            <w:r w:rsidRPr="00622D7C">
              <w:rPr>
                <w:rFonts w:ascii="Calibri" w:eastAsia="Times New Roman" w:hAnsi="Calibri" w:cs="Times New Roman"/>
                <w:b/>
                <w:bCs/>
                <w:color w:val="FFFFFF"/>
              </w:rPr>
              <w:t>B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reads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113428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read misses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5754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5337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4945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12108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write misses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total miss rate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0.045883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0.042569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0.039431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writebacks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1525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1503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1445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Invalidations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1837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1784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1744</w:t>
            </w:r>
          </w:p>
        </w:tc>
      </w:tr>
      <w:tr w:rsidR="00622D7C" w:rsidRPr="00622D7C" w:rsidTr="00622D7C">
        <w:trPr>
          <w:trHeight w:val="300"/>
        </w:trPr>
        <w:tc>
          <w:tcPr>
            <w:tcW w:w="421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number of cache-to-cache transfers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9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22D7C" w:rsidRPr="00622D7C" w:rsidRDefault="00622D7C" w:rsidP="00622D7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2D7C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:rsidR="00622D7C" w:rsidRDefault="00622D7C"/>
    <w:p w:rsidR="00622D7C" w:rsidRDefault="009E6BD4">
      <w:r>
        <w:rPr>
          <w:noProof/>
        </w:rPr>
        <w:drawing>
          <wp:inline distT="0" distB="0" distL="0" distR="0" wp14:anchorId="140D8144" wp14:editId="515B2D9E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22D7C" w:rsidRDefault="00622D7C"/>
    <w:p w:rsidR="00C2350F" w:rsidRDefault="00C2350F" w:rsidP="00C2350F">
      <w:r>
        <w:t>For Cache 3</w:t>
      </w:r>
      <w:r>
        <w:t>,</w:t>
      </w:r>
    </w:p>
    <w:p w:rsidR="00C2350F" w:rsidRDefault="00C2350F" w:rsidP="00C2350F">
      <w:r>
        <w:t>As the block size increase, there is a reduction in number of read misses, number of write misses. Because there is a reduction in the number of read and write misses, there will be a reduction in the total miss rate. There is a reduction in the numb</w:t>
      </w:r>
      <w:r w:rsidR="000731B0">
        <w:t>er of writebacks and invalidations</w:t>
      </w:r>
      <w:r w:rsidR="00C83F27">
        <w:t xml:space="preserve">. There is an increase in the number of </w:t>
      </w:r>
      <w:r w:rsidR="000731B0">
        <w:t>cache-to-cache transactions.</w:t>
      </w:r>
      <w:r>
        <w:t xml:space="preserve">    </w:t>
      </w:r>
    </w:p>
    <w:p w:rsidR="00572906" w:rsidRDefault="00572906" w:rsidP="00C2350F">
      <w:pPr>
        <w:jc w:val="center"/>
        <w:rPr>
          <w:sz w:val="40"/>
          <w:szCs w:val="40"/>
        </w:rPr>
      </w:pPr>
      <w:r>
        <w:rPr>
          <w:sz w:val="40"/>
          <w:szCs w:val="40"/>
        </w:rPr>
        <w:t>Conclusion</w:t>
      </w:r>
    </w:p>
    <w:p w:rsidR="00622D7C" w:rsidRPr="00C2350F" w:rsidRDefault="00572906" w:rsidP="00572906">
      <w:pPr>
        <w:rPr>
          <w:sz w:val="40"/>
          <w:szCs w:val="40"/>
        </w:rPr>
      </w:pPr>
      <w:r>
        <w:rPr>
          <w:sz w:val="24"/>
          <w:szCs w:val="24"/>
        </w:rPr>
        <w:t xml:space="preserve">As the block size and cache sizes increase, there is a reduction in the number of read and write misses. If the block size is set at 64B and the cache size is increased, the total miss rate will approach </w:t>
      </w:r>
      <w:r w:rsidRPr="00572906">
        <w:rPr>
          <w:sz w:val="24"/>
          <w:szCs w:val="24"/>
        </w:rPr>
        <w:t>asymptote</w:t>
      </w:r>
      <w:r>
        <w:rPr>
          <w:sz w:val="24"/>
          <w:szCs w:val="24"/>
        </w:rPr>
        <w:t xml:space="preserve"> where there is no benefit by increasing the cache size. The same goes for the block size. </w:t>
      </w:r>
      <w:r w:rsidR="000731B0">
        <w:rPr>
          <w:sz w:val="24"/>
          <w:szCs w:val="24"/>
        </w:rPr>
        <w:t>Also, the number of total number of messages being sent goes done as the cache size and bloc size increase.</w:t>
      </w:r>
      <w:bookmarkStart w:id="0" w:name="_GoBack"/>
      <w:bookmarkEnd w:id="0"/>
    </w:p>
    <w:sectPr w:rsidR="00622D7C" w:rsidRPr="00C2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7C"/>
    <w:rsid w:val="000731B0"/>
    <w:rsid w:val="00572906"/>
    <w:rsid w:val="00622D7C"/>
    <w:rsid w:val="00996E3F"/>
    <w:rsid w:val="009E6BD4"/>
    <w:rsid w:val="00AF52D9"/>
    <w:rsid w:val="00B53CC7"/>
    <w:rsid w:val="00C2350F"/>
    <w:rsid w:val="00C8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97B2C-C4B6-45D4-84BC-019E1505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Sheet3!$F$8</c:f>
              <c:strCache>
                <c:ptCount val="1"/>
                <c:pt idx="0">
                  <c:v>32kB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Sheet3!$E$9:$E$16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Sheet3!$F$9:$F$16</c:f>
              <c:numCache>
                <c:formatCode>General</c:formatCode>
                <c:ptCount val="8"/>
                <c:pt idx="0">
                  <c:v>112661</c:v>
                </c:pt>
                <c:pt idx="1">
                  <c:v>6359</c:v>
                </c:pt>
                <c:pt idx="2">
                  <c:v>11942</c:v>
                </c:pt>
                <c:pt idx="3">
                  <c:v>36</c:v>
                </c:pt>
                <c:pt idx="4">
                  <c:v>5.1323000000000001E-2</c:v>
                </c:pt>
                <c:pt idx="5">
                  <c:v>2168</c:v>
                </c:pt>
                <c:pt idx="6">
                  <c:v>1990</c:v>
                </c:pt>
                <c:pt idx="7">
                  <c:v>4748</c:v>
                </c:pt>
              </c:numCache>
            </c:numRef>
          </c:val>
        </c:ser>
        <c:ser>
          <c:idx val="1"/>
          <c:order val="1"/>
          <c:tx>
            <c:strRef>
              <c:f>Sheet3!$G$8</c:f>
              <c:strCache>
                <c:ptCount val="1"/>
                <c:pt idx="0">
                  <c:v>64kB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Sheet3!$E$9:$E$16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Sheet3!$G$9:$G$16</c:f>
              <c:numCache>
                <c:formatCode>General</c:formatCode>
                <c:ptCount val="8"/>
                <c:pt idx="0">
                  <c:v>112661</c:v>
                </c:pt>
                <c:pt idx="1">
                  <c:v>6032</c:v>
                </c:pt>
                <c:pt idx="2">
                  <c:v>11942</c:v>
                </c:pt>
                <c:pt idx="3">
                  <c:v>24</c:v>
                </c:pt>
                <c:pt idx="4">
                  <c:v>4.8601999999999999E-2</c:v>
                </c:pt>
                <c:pt idx="5">
                  <c:v>2007</c:v>
                </c:pt>
                <c:pt idx="6">
                  <c:v>1940</c:v>
                </c:pt>
                <c:pt idx="7">
                  <c:v>4538</c:v>
                </c:pt>
              </c:numCache>
            </c:numRef>
          </c:val>
        </c:ser>
        <c:ser>
          <c:idx val="2"/>
          <c:order val="2"/>
          <c:tx>
            <c:strRef>
              <c:f>Sheet3!$H$8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Sheet3!$E$9:$E$16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Sheet3!$H$9:$H$16</c:f>
              <c:numCache>
                <c:formatCode>General</c:formatCode>
                <c:ptCount val="8"/>
                <c:pt idx="0">
                  <c:v>112661</c:v>
                </c:pt>
                <c:pt idx="1">
                  <c:v>5817</c:v>
                </c:pt>
                <c:pt idx="2">
                  <c:v>11942</c:v>
                </c:pt>
                <c:pt idx="3">
                  <c:v>13</c:v>
                </c:pt>
                <c:pt idx="4">
                  <c:v>4.6788999999999997E-2</c:v>
                </c:pt>
                <c:pt idx="5">
                  <c:v>1801</c:v>
                </c:pt>
                <c:pt idx="6">
                  <c:v>1889</c:v>
                </c:pt>
                <c:pt idx="7">
                  <c:v>4373</c:v>
                </c:pt>
              </c:numCache>
            </c:numRef>
          </c:val>
        </c:ser>
        <c:ser>
          <c:idx val="3"/>
          <c:order val="3"/>
          <c:tx>
            <c:strRef>
              <c:f>Sheet3!$I$8</c:f>
              <c:strCache>
                <c:ptCount val="1"/>
                <c:pt idx="0">
                  <c:v>256kB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Sheet3!$E$9:$E$16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Sheet3!$I$9:$I$16</c:f>
              <c:numCache>
                <c:formatCode>General</c:formatCode>
                <c:ptCount val="8"/>
                <c:pt idx="0">
                  <c:v>112661</c:v>
                </c:pt>
                <c:pt idx="1">
                  <c:v>5746</c:v>
                </c:pt>
                <c:pt idx="2">
                  <c:v>11942</c:v>
                </c:pt>
                <c:pt idx="3">
                  <c:v>13</c:v>
                </c:pt>
                <c:pt idx="4">
                  <c:v>4.6219000000000003E-2</c:v>
                </c:pt>
                <c:pt idx="5">
                  <c:v>1616</c:v>
                </c:pt>
                <c:pt idx="6">
                  <c:v>1873</c:v>
                </c:pt>
                <c:pt idx="7">
                  <c:v>4316</c:v>
                </c:pt>
              </c:numCache>
            </c:numRef>
          </c:val>
        </c:ser>
        <c:ser>
          <c:idx val="4"/>
          <c:order val="4"/>
          <c:tx>
            <c:strRef>
              <c:f>Sheet3!$J$8</c:f>
              <c:strCache>
                <c:ptCount val="1"/>
                <c:pt idx="0">
                  <c:v>512kB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Sheet3!$E$9:$E$16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Sheet3!$J$9:$J$16</c:f>
              <c:numCache>
                <c:formatCode>General</c:formatCode>
                <c:ptCount val="8"/>
                <c:pt idx="0">
                  <c:v>112661</c:v>
                </c:pt>
                <c:pt idx="1">
                  <c:v>5721</c:v>
                </c:pt>
                <c:pt idx="2">
                  <c:v>11942</c:v>
                </c:pt>
                <c:pt idx="3">
                  <c:v>10</c:v>
                </c:pt>
                <c:pt idx="4">
                  <c:v>4.5994E-2</c:v>
                </c:pt>
                <c:pt idx="5">
                  <c:v>1543</c:v>
                </c:pt>
                <c:pt idx="6">
                  <c:v>1852</c:v>
                </c:pt>
                <c:pt idx="7">
                  <c:v>4295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7562168"/>
        <c:axId val="208796520"/>
      </c:barChart>
      <c:catAx>
        <c:axId val="207562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96520"/>
        <c:crosses val="autoZero"/>
        <c:auto val="1"/>
        <c:lblAlgn val="ctr"/>
        <c:lblOffset val="100"/>
        <c:noMultiLvlLbl val="0"/>
      </c:catAx>
      <c:valAx>
        <c:axId val="208796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562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Sheet3!$F$21</c:f>
              <c:strCache>
                <c:ptCount val="1"/>
                <c:pt idx="0">
                  <c:v>32kB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Sheet3!$E$22:$E$29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Sheet3!$F$22:$F$29</c:f>
              <c:numCache>
                <c:formatCode>General</c:formatCode>
                <c:ptCount val="8"/>
                <c:pt idx="0">
                  <c:v>110830</c:v>
                </c:pt>
                <c:pt idx="1">
                  <c:v>6391</c:v>
                </c:pt>
                <c:pt idx="2">
                  <c:v>11710</c:v>
                </c:pt>
                <c:pt idx="3">
                  <c:v>38</c:v>
                </c:pt>
                <c:pt idx="4">
                  <c:v>5.2464999999999998E-2</c:v>
                </c:pt>
                <c:pt idx="5">
                  <c:v>2131</c:v>
                </c:pt>
                <c:pt idx="6">
                  <c:v>2012</c:v>
                </c:pt>
                <c:pt idx="7">
                  <c:v>1618</c:v>
                </c:pt>
              </c:numCache>
            </c:numRef>
          </c:val>
        </c:ser>
        <c:ser>
          <c:idx val="1"/>
          <c:order val="1"/>
          <c:tx>
            <c:strRef>
              <c:f>Sheet3!$G$21</c:f>
              <c:strCache>
                <c:ptCount val="1"/>
                <c:pt idx="0">
                  <c:v>64kB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Sheet3!$E$22:$E$29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Sheet3!$G$22:$G$29</c:f>
              <c:numCache>
                <c:formatCode>General</c:formatCode>
                <c:ptCount val="8"/>
                <c:pt idx="0">
                  <c:v>110830</c:v>
                </c:pt>
                <c:pt idx="1">
                  <c:v>6057</c:v>
                </c:pt>
                <c:pt idx="2">
                  <c:v>11710</c:v>
                </c:pt>
                <c:pt idx="3">
                  <c:v>26</c:v>
                </c:pt>
                <c:pt idx="4">
                  <c:v>4.9640999999999998E-2</c:v>
                </c:pt>
                <c:pt idx="5">
                  <c:v>1985</c:v>
                </c:pt>
                <c:pt idx="6">
                  <c:v>1958</c:v>
                </c:pt>
                <c:pt idx="7">
                  <c:v>1538</c:v>
                </c:pt>
              </c:numCache>
            </c:numRef>
          </c:val>
        </c:ser>
        <c:ser>
          <c:idx val="2"/>
          <c:order val="2"/>
          <c:tx>
            <c:strRef>
              <c:f>Sheet3!$H$21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Sheet3!$E$22:$E$29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Sheet3!$H$22:$H$29</c:f>
              <c:numCache>
                <c:formatCode>General</c:formatCode>
                <c:ptCount val="8"/>
                <c:pt idx="0">
                  <c:v>110830</c:v>
                </c:pt>
                <c:pt idx="1">
                  <c:v>5845</c:v>
                </c:pt>
                <c:pt idx="2">
                  <c:v>11710</c:v>
                </c:pt>
                <c:pt idx="3">
                  <c:v>14</c:v>
                </c:pt>
                <c:pt idx="4">
                  <c:v>4.7813000000000001E-2</c:v>
                </c:pt>
                <c:pt idx="5">
                  <c:v>1800</c:v>
                </c:pt>
                <c:pt idx="6">
                  <c:v>1902</c:v>
                </c:pt>
                <c:pt idx="7">
                  <c:v>1481</c:v>
                </c:pt>
              </c:numCache>
            </c:numRef>
          </c:val>
        </c:ser>
        <c:ser>
          <c:idx val="3"/>
          <c:order val="3"/>
          <c:tx>
            <c:strRef>
              <c:f>Sheet3!$I$21</c:f>
              <c:strCache>
                <c:ptCount val="1"/>
                <c:pt idx="0">
                  <c:v>256kB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Sheet3!$E$22:$E$29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Sheet3!$I$22:$I$29</c:f>
              <c:numCache>
                <c:formatCode>General</c:formatCode>
                <c:ptCount val="8"/>
                <c:pt idx="0">
                  <c:v>110830</c:v>
                </c:pt>
                <c:pt idx="1">
                  <c:v>5780</c:v>
                </c:pt>
                <c:pt idx="2">
                  <c:v>11710</c:v>
                </c:pt>
                <c:pt idx="3">
                  <c:v>12</c:v>
                </c:pt>
                <c:pt idx="4">
                  <c:v>4.7266000000000002E-2</c:v>
                </c:pt>
                <c:pt idx="5">
                  <c:v>1584</c:v>
                </c:pt>
                <c:pt idx="6">
                  <c:v>1884</c:v>
                </c:pt>
                <c:pt idx="7">
                  <c:v>1468</c:v>
                </c:pt>
              </c:numCache>
            </c:numRef>
          </c:val>
        </c:ser>
        <c:ser>
          <c:idx val="4"/>
          <c:order val="4"/>
          <c:tx>
            <c:strRef>
              <c:f>Sheet3!$J$21</c:f>
              <c:strCache>
                <c:ptCount val="1"/>
                <c:pt idx="0">
                  <c:v>512kB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Sheet3!$E$22:$E$29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Sheet3!$J$22:$J$29</c:f>
              <c:numCache>
                <c:formatCode>General</c:formatCode>
                <c:ptCount val="8"/>
                <c:pt idx="0">
                  <c:v>110830</c:v>
                </c:pt>
                <c:pt idx="1">
                  <c:v>5762</c:v>
                </c:pt>
                <c:pt idx="2">
                  <c:v>11710</c:v>
                </c:pt>
                <c:pt idx="3">
                  <c:v>9</c:v>
                </c:pt>
                <c:pt idx="4">
                  <c:v>4.7094999999999998E-2</c:v>
                </c:pt>
                <c:pt idx="5">
                  <c:v>1509</c:v>
                </c:pt>
                <c:pt idx="6">
                  <c:v>1862</c:v>
                </c:pt>
                <c:pt idx="7">
                  <c:v>1463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8796912"/>
        <c:axId val="208795344"/>
      </c:barChart>
      <c:catAx>
        <c:axId val="208796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95344"/>
        <c:crosses val="autoZero"/>
        <c:auto val="1"/>
        <c:lblAlgn val="ctr"/>
        <c:lblOffset val="100"/>
        <c:noMultiLvlLbl val="0"/>
      </c:catAx>
      <c:valAx>
        <c:axId val="20879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79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Sheet3!$F$34</c:f>
              <c:strCache>
                <c:ptCount val="1"/>
                <c:pt idx="0">
                  <c:v>32kB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Sheet3!$E$35:$E$42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Sheet3!$F$35:$F$42</c:f>
              <c:numCache>
                <c:formatCode>General</c:formatCode>
                <c:ptCount val="8"/>
                <c:pt idx="0">
                  <c:v>114938</c:v>
                </c:pt>
                <c:pt idx="1">
                  <c:v>6385</c:v>
                </c:pt>
                <c:pt idx="2">
                  <c:v>12383</c:v>
                </c:pt>
                <c:pt idx="3">
                  <c:v>37</c:v>
                </c:pt>
                <c:pt idx="4">
                  <c:v>5.0438999999999998E-2</c:v>
                </c:pt>
                <c:pt idx="5">
                  <c:v>2174</c:v>
                </c:pt>
                <c:pt idx="6">
                  <c:v>1982</c:v>
                </c:pt>
                <c:pt idx="7">
                  <c:v>43</c:v>
                </c:pt>
              </c:numCache>
            </c:numRef>
          </c:val>
        </c:ser>
        <c:ser>
          <c:idx val="1"/>
          <c:order val="1"/>
          <c:tx>
            <c:strRef>
              <c:f>Sheet3!$G$34</c:f>
              <c:strCache>
                <c:ptCount val="1"/>
                <c:pt idx="0">
                  <c:v>64kB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Sheet3!$E$35:$E$42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Sheet3!$G$35:$G$42</c:f>
              <c:numCache>
                <c:formatCode>General</c:formatCode>
                <c:ptCount val="8"/>
                <c:pt idx="0">
                  <c:v>114938</c:v>
                </c:pt>
                <c:pt idx="1">
                  <c:v>6033</c:v>
                </c:pt>
                <c:pt idx="2">
                  <c:v>12383</c:v>
                </c:pt>
                <c:pt idx="3">
                  <c:v>25</c:v>
                </c:pt>
                <c:pt idx="4">
                  <c:v>4.7580999999999998E-2</c:v>
                </c:pt>
                <c:pt idx="5">
                  <c:v>2016</c:v>
                </c:pt>
                <c:pt idx="6">
                  <c:v>1927</c:v>
                </c:pt>
                <c:pt idx="7">
                  <c:v>29</c:v>
                </c:pt>
              </c:numCache>
            </c:numRef>
          </c:val>
        </c:ser>
        <c:ser>
          <c:idx val="2"/>
          <c:order val="2"/>
          <c:tx>
            <c:strRef>
              <c:f>Sheet3!$H$34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Sheet3!$E$35:$E$42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Sheet3!$H$35:$H$42</c:f>
              <c:numCache>
                <c:formatCode>General</c:formatCode>
                <c:ptCount val="8"/>
                <c:pt idx="0">
                  <c:v>114938</c:v>
                </c:pt>
                <c:pt idx="1">
                  <c:v>5817</c:v>
                </c:pt>
                <c:pt idx="2">
                  <c:v>12383</c:v>
                </c:pt>
                <c:pt idx="3">
                  <c:v>14</c:v>
                </c:pt>
                <c:pt idx="4">
                  <c:v>4.5797999999999998E-2</c:v>
                </c:pt>
                <c:pt idx="5">
                  <c:v>1812</c:v>
                </c:pt>
                <c:pt idx="6">
                  <c:v>1885</c:v>
                </c:pt>
                <c:pt idx="7">
                  <c:v>21</c:v>
                </c:pt>
              </c:numCache>
            </c:numRef>
          </c:val>
        </c:ser>
        <c:ser>
          <c:idx val="3"/>
          <c:order val="3"/>
          <c:tx>
            <c:strRef>
              <c:f>Sheet3!$I$34</c:f>
              <c:strCache>
                <c:ptCount val="1"/>
                <c:pt idx="0">
                  <c:v>256kB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Sheet3!$E$35:$E$42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Sheet3!$I$35:$I$42</c:f>
              <c:numCache>
                <c:formatCode>General</c:formatCode>
                <c:ptCount val="8"/>
                <c:pt idx="0">
                  <c:v>114938</c:v>
                </c:pt>
                <c:pt idx="1">
                  <c:v>5748</c:v>
                </c:pt>
                <c:pt idx="2">
                  <c:v>12383</c:v>
                </c:pt>
                <c:pt idx="3">
                  <c:v>12</c:v>
                </c:pt>
                <c:pt idx="4">
                  <c:v>4.5240000000000002E-2</c:v>
                </c:pt>
                <c:pt idx="5">
                  <c:v>1629</c:v>
                </c:pt>
                <c:pt idx="6">
                  <c:v>1869</c:v>
                </c:pt>
                <c:pt idx="7">
                  <c:v>22</c:v>
                </c:pt>
              </c:numCache>
            </c:numRef>
          </c:val>
        </c:ser>
        <c:ser>
          <c:idx val="4"/>
          <c:order val="4"/>
          <c:tx>
            <c:strRef>
              <c:f>Sheet3!$J$34</c:f>
              <c:strCache>
                <c:ptCount val="1"/>
                <c:pt idx="0">
                  <c:v>512kB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Sheet3!$E$35:$E$42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Sheet3!$J$35:$J$42</c:f>
              <c:numCache>
                <c:formatCode>General</c:formatCode>
                <c:ptCount val="8"/>
                <c:pt idx="0">
                  <c:v>114938</c:v>
                </c:pt>
                <c:pt idx="1">
                  <c:v>5728</c:v>
                </c:pt>
                <c:pt idx="2">
                  <c:v>12383</c:v>
                </c:pt>
                <c:pt idx="3">
                  <c:v>9</c:v>
                </c:pt>
                <c:pt idx="4">
                  <c:v>4.5059000000000002E-2</c:v>
                </c:pt>
                <c:pt idx="5">
                  <c:v>1544</c:v>
                </c:pt>
                <c:pt idx="6">
                  <c:v>1853</c:v>
                </c:pt>
                <c:pt idx="7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4108416"/>
        <c:axId val="204107240"/>
      </c:barChart>
      <c:catAx>
        <c:axId val="204108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07240"/>
        <c:crosses val="autoZero"/>
        <c:auto val="1"/>
        <c:lblAlgn val="ctr"/>
        <c:lblOffset val="100"/>
        <c:noMultiLvlLbl val="0"/>
      </c:catAx>
      <c:valAx>
        <c:axId val="204107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0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Sheet3!$F$47</c:f>
              <c:strCache>
                <c:ptCount val="1"/>
                <c:pt idx="0">
                  <c:v>32kB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Sheet3!$E$48:$E$55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Sheet3!$F$48:$F$55</c:f>
              <c:numCache>
                <c:formatCode>General</c:formatCode>
                <c:ptCount val="8"/>
                <c:pt idx="0">
                  <c:v>113428</c:v>
                </c:pt>
                <c:pt idx="1">
                  <c:v>6405</c:v>
                </c:pt>
                <c:pt idx="2">
                  <c:v>12108</c:v>
                </c:pt>
                <c:pt idx="3">
                  <c:v>34</c:v>
                </c:pt>
                <c:pt idx="4">
                  <c:v>5.1291999999999997E-2</c:v>
                </c:pt>
                <c:pt idx="5">
                  <c:v>2211</c:v>
                </c:pt>
                <c:pt idx="6">
                  <c:v>1994</c:v>
                </c:pt>
                <c:pt idx="7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Sheet3!$G$47</c:f>
              <c:strCache>
                <c:ptCount val="1"/>
                <c:pt idx="0">
                  <c:v>64kB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Sheet3!$E$48:$E$55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Sheet3!$G$48:$G$55</c:f>
              <c:numCache>
                <c:formatCode>General</c:formatCode>
                <c:ptCount val="8"/>
                <c:pt idx="0">
                  <c:v>113428</c:v>
                </c:pt>
                <c:pt idx="1">
                  <c:v>6060</c:v>
                </c:pt>
                <c:pt idx="2">
                  <c:v>12108</c:v>
                </c:pt>
                <c:pt idx="3">
                  <c:v>23</c:v>
                </c:pt>
                <c:pt idx="4">
                  <c:v>4.8455999999999999E-2</c:v>
                </c:pt>
                <c:pt idx="5">
                  <c:v>2056</c:v>
                </c:pt>
                <c:pt idx="6">
                  <c:v>1938</c:v>
                </c:pt>
                <c:pt idx="7">
                  <c:v>39</c:v>
                </c:pt>
              </c:numCache>
            </c:numRef>
          </c:val>
        </c:ser>
        <c:ser>
          <c:idx val="2"/>
          <c:order val="2"/>
          <c:tx>
            <c:strRef>
              <c:f>Sheet3!$H$47</c:f>
              <c:strCache>
                <c:ptCount val="1"/>
                <c:pt idx="0">
                  <c:v>128kB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Sheet3!$E$48:$E$55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Sheet3!$H$48:$H$55</c:f>
              <c:numCache>
                <c:formatCode>General</c:formatCode>
                <c:ptCount val="8"/>
                <c:pt idx="0">
                  <c:v>113428</c:v>
                </c:pt>
                <c:pt idx="1">
                  <c:v>5850</c:v>
                </c:pt>
                <c:pt idx="2">
                  <c:v>12108</c:v>
                </c:pt>
                <c:pt idx="3">
                  <c:v>12</c:v>
                </c:pt>
                <c:pt idx="4">
                  <c:v>4.6696000000000001E-2</c:v>
                </c:pt>
                <c:pt idx="5">
                  <c:v>1824</c:v>
                </c:pt>
                <c:pt idx="6">
                  <c:v>1884</c:v>
                </c:pt>
                <c:pt idx="7">
                  <c:v>26</c:v>
                </c:pt>
              </c:numCache>
            </c:numRef>
          </c:val>
        </c:ser>
        <c:ser>
          <c:idx val="3"/>
          <c:order val="3"/>
          <c:tx>
            <c:strRef>
              <c:f>Sheet3!$I$47</c:f>
              <c:strCache>
                <c:ptCount val="1"/>
                <c:pt idx="0">
                  <c:v>256kB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Sheet3!$E$48:$E$55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Sheet3!$I$48:$I$55</c:f>
              <c:numCache>
                <c:formatCode>General</c:formatCode>
                <c:ptCount val="8"/>
                <c:pt idx="0">
                  <c:v>113428</c:v>
                </c:pt>
                <c:pt idx="1">
                  <c:v>5783</c:v>
                </c:pt>
                <c:pt idx="2">
                  <c:v>12108</c:v>
                </c:pt>
                <c:pt idx="3">
                  <c:v>10</c:v>
                </c:pt>
                <c:pt idx="4">
                  <c:v>4.6146E-2</c:v>
                </c:pt>
                <c:pt idx="5">
                  <c:v>1617</c:v>
                </c:pt>
                <c:pt idx="6">
                  <c:v>1865</c:v>
                </c:pt>
                <c:pt idx="7">
                  <c:v>30</c:v>
                </c:pt>
              </c:numCache>
            </c:numRef>
          </c:val>
        </c:ser>
        <c:ser>
          <c:idx val="4"/>
          <c:order val="4"/>
          <c:tx>
            <c:strRef>
              <c:f>Sheet3!$J$47</c:f>
              <c:strCache>
                <c:ptCount val="1"/>
                <c:pt idx="0">
                  <c:v>512kB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Sheet3!$E$48:$E$55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Sheet3!$J$48:$J$55</c:f>
              <c:numCache>
                <c:formatCode>General</c:formatCode>
                <c:ptCount val="8"/>
                <c:pt idx="0">
                  <c:v>113428</c:v>
                </c:pt>
                <c:pt idx="1">
                  <c:v>5761</c:v>
                </c:pt>
                <c:pt idx="2">
                  <c:v>12108</c:v>
                </c:pt>
                <c:pt idx="3">
                  <c:v>7</c:v>
                </c:pt>
                <c:pt idx="4">
                  <c:v>4.5947000000000002E-2</c:v>
                </c:pt>
                <c:pt idx="5">
                  <c:v>1542</c:v>
                </c:pt>
                <c:pt idx="6">
                  <c:v>1846</c:v>
                </c:pt>
                <c:pt idx="7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6840472"/>
        <c:axId val="206840080"/>
      </c:barChart>
      <c:catAx>
        <c:axId val="206840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40080"/>
        <c:crosses val="autoZero"/>
        <c:auto val="1"/>
        <c:lblAlgn val="ctr"/>
        <c:lblOffset val="100"/>
        <c:noMultiLvlLbl val="0"/>
      </c:catAx>
      <c:valAx>
        <c:axId val="20684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4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Sheet3!$F$61</c:f>
              <c:strCache>
                <c:ptCount val="1"/>
                <c:pt idx="0">
                  <c:v>64B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Sheet3!$E$62:$E$69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Sheet3!$F$62:$F$69</c:f>
              <c:numCache>
                <c:formatCode>General</c:formatCode>
                <c:ptCount val="8"/>
                <c:pt idx="0">
                  <c:v>112661</c:v>
                </c:pt>
                <c:pt idx="1">
                  <c:v>5716</c:v>
                </c:pt>
                <c:pt idx="2">
                  <c:v>11942</c:v>
                </c:pt>
                <c:pt idx="3">
                  <c:v>9</c:v>
                </c:pt>
                <c:pt idx="4">
                  <c:v>4.5946000000000001E-2</c:v>
                </c:pt>
                <c:pt idx="5">
                  <c:v>1520</c:v>
                </c:pt>
                <c:pt idx="6">
                  <c:v>1845</c:v>
                </c:pt>
                <c:pt idx="7">
                  <c:v>4291</c:v>
                </c:pt>
              </c:numCache>
            </c:numRef>
          </c:val>
        </c:ser>
        <c:ser>
          <c:idx val="1"/>
          <c:order val="1"/>
          <c:tx>
            <c:strRef>
              <c:f>Sheet3!$G$61</c:f>
              <c:strCache>
                <c:ptCount val="1"/>
                <c:pt idx="0">
                  <c:v>128B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Sheet3!$E$62:$E$69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Sheet3!$G$62:$G$69</c:f>
              <c:numCache>
                <c:formatCode>General</c:formatCode>
                <c:ptCount val="8"/>
                <c:pt idx="0">
                  <c:v>112661</c:v>
                </c:pt>
                <c:pt idx="1">
                  <c:v>5293</c:v>
                </c:pt>
                <c:pt idx="2">
                  <c:v>11942</c:v>
                </c:pt>
                <c:pt idx="3">
                  <c:v>10</c:v>
                </c:pt>
                <c:pt idx="4">
                  <c:v>4.2559E-2</c:v>
                </c:pt>
                <c:pt idx="5">
                  <c:v>1476</c:v>
                </c:pt>
                <c:pt idx="6">
                  <c:v>1801</c:v>
                </c:pt>
                <c:pt idx="7">
                  <c:v>3999</c:v>
                </c:pt>
              </c:numCache>
            </c:numRef>
          </c:val>
        </c:ser>
        <c:ser>
          <c:idx val="2"/>
          <c:order val="2"/>
          <c:tx>
            <c:strRef>
              <c:f>Sheet3!$H$61</c:f>
              <c:strCache>
                <c:ptCount val="1"/>
                <c:pt idx="0">
                  <c:v>256B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Sheet3!$E$62:$E$69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Sheet3!$H$62:$H$69</c:f>
              <c:numCache>
                <c:formatCode>General</c:formatCode>
                <c:ptCount val="8"/>
                <c:pt idx="0">
                  <c:v>112661</c:v>
                </c:pt>
                <c:pt idx="1">
                  <c:v>4903</c:v>
                </c:pt>
                <c:pt idx="2">
                  <c:v>11942</c:v>
                </c:pt>
                <c:pt idx="3">
                  <c:v>8</c:v>
                </c:pt>
                <c:pt idx="4">
                  <c:v>3.9412999999999997E-2</c:v>
                </c:pt>
                <c:pt idx="5">
                  <c:v>1401</c:v>
                </c:pt>
                <c:pt idx="6">
                  <c:v>1764</c:v>
                </c:pt>
                <c:pt idx="7">
                  <c:v>3717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3859424"/>
        <c:axId val="203858640"/>
      </c:barChart>
      <c:catAx>
        <c:axId val="203859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58640"/>
        <c:crosses val="autoZero"/>
        <c:auto val="1"/>
        <c:lblAlgn val="ctr"/>
        <c:lblOffset val="100"/>
        <c:noMultiLvlLbl val="0"/>
      </c:catAx>
      <c:valAx>
        <c:axId val="20385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85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Sheet3!$F$74</c:f>
              <c:strCache>
                <c:ptCount val="1"/>
                <c:pt idx="0">
                  <c:v>64B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Sheet3!$E$75:$E$82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Sheet3!$F$75:$F$82</c:f>
              <c:numCache>
                <c:formatCode>General</c:formatCode>
                <c:ptCount val="8"/>
                <c:pt idx="0">
                  <c:v>110830</c:v>
                </c:pt>
                <c:pt idx="1">
                  <c:v>5752</c:v>
                </c:pt>
                <c:pt idx="2">
                  <c:v>11710</c:v>
                </c:pt>
                <c:pt idx="3">
                  <c:v>8</c:v>
                </c:pt>
                <c:pt idx="4">
                  <c:v>4.7004999999999998E-2</c:v>
                </c:pt>
                <c:pt idx="5">
                  <c:v>1490</c:v>
                </c:pt>
                <c:pt idx="6">
                  <c:v>1853</c:v>
                </c:pt>
                <c:pt idx="7">
                  <c:v>1462</c:v>
                </c:pt>
              </c:numCache>
            </c:numRef>
          </c:val>
        </c:ser>
        <c:ser>
          <c:idx val="1"/>
          <c:order val="1"/>
          <c:tx>
            <c:strRef>
              <c:f>Sheet3!$G$74</c:f>
              <c:strCache>
                <c:ptCount val="1"/>
                <c:pt idx="0">
                  <c:v>128B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Sheet3!$E$75:$E$82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Sheet3!$G$75:$G$82</c:f>
              <c:numCache>
                <c:formatCode>General</c:formatCode>
                <c:ptCount val="8"/>
                <c:pt idx="0">
                  <c:v>110830</c:v>
                </c:pt>
                <c:pt idx="1">
                  <c:v>5346</c:v>
                </c:pt>
                <c:pt idx="2">
                  <c:v>11710</c:v>
                </c:pt>
                <c:pt idx="3">
                  <c:v>8</c:v>
                </c:pt>
                <c:pt idx="4">
                  <c:v>4.3692000000000002E-2</c:v>
                </c:pt>
                <c:pt idx="5">
                  <c:v>1456</c:v>
                </c:pt>
                <c:pt idx="6">
                  <c:v>1801</c:v>
                </c:pt>
                <c:pt idx="7">
                  <c:v>1365</c:v>
                </c:pt>
              </c:numCache>
            </c:numRef>
          </c:val>
        </c:ser>
        <c:ser>
          <c:idx val="2"/>
          <c:order val="2"/>
          <c:tx>
            <c:strRef>
              <c:f>Sheet3!$H$74</c:f>
              <c:strCache>
                <c:ptCount val="1"/>
                <c:pt idx="0">
                  <c:v>256B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Sheet3!$E$75:$E$82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Sheet3!$H$75:$H$82</c:f>
              <c:numCache>
                <c:formatCode>General</c:formatCode>
                <c:ptCount val="8"/>
                <c:pt idx="0">
                  <c:v>110830</c:v>
                </c:pt>
                <c:pt idx="1">
                  <c:v>4941</c:v>
                </c:pt>
                <c:pt idx="2">
                  <c:v>11710</c:v>
                </c:pt>
                <c:pt idx="3">
                  <c:v>6</c:v>
                </c:pt>
                <c:pt idx="4">
                  <c:v>4.0370000000000003E-2</c:v>
                </c:pt>
                <c:pt idx="5">
                  <c:v>1428</c:v>
                </c:pt>
                <c:pt idx="6">
                  <c:v>1762</c:v>
                </c:pt>
                <c:pt idx="7">
                  <c:v>1252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4817400"/>
        <c:axId val="144817792"/>
      </c:barChart>
      <c:catAx>
        <c:axId val="144817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17792"/>
        <c:crosses val="autoZero"/>
        <c:auto val="1"/>
        <c:lblAlgn val="ctr"/>
        <c:lblOffset val="100"/>
        <c:noMultiLvlLbl val="0"/>
      </c:catAx>
      <c:valAx>
        <c:axId val="14481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17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Sheet3!$F$87</c:f>
              <c:strCache>
                <c:ptCount val="1"/>
                <c:pt idx="0">
                  <c:v>64B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Sheet3!$E$88:$E$95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Sheet3!$F$88:$F$95</c:f>
              <c:numCache>
                <c:formatCode>General</c:formatCode>
                <c:ptCount val="8"/>
                <c:pt idx="0">
                  <c:v>114938</c:v>
                </c:pt>
                <c:pt idx="1">
                  <c:v>5723</c:v>
                </c:pt>
                <c:pt idx="2">
                  <c:v>12383</c:v>
                </c:pt>
                <c:pt idx="3">
                  <c:v>8</c:v>
                </c:pt>
                <c:pt idx="4">
                  <c:v>4.5012000000000003E-2</c:v>
                </c:pt>
                <c:pt idx="5">
                  <c:v>1523</c:v>
                </c:pt>
                <c:pt idx="6">
                  <c:v>1844</c:v>
                </c:pt>
                <c:pt idx="7">
                  <c:v>18</c:v>
                </c:pt>
              </c:numCache>
            </c:numRef>
          </c:val>
        </c:ser>
        <c:ser>
          <c:idx val="1"/>
          <c:order val="1"/>
          <c:tx>
            <c:strRef>
              <c:f>Sheet3!$G$87</c:f>
              <c:strCache>
                <c:ptCount val="1"/>
                <c:pt idx="0">
                  <c:v>128B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Sheet3!$E$88:$E$95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Sheet3!$G$88:$G$95</c:f>
              <c:numCache>
                <c:formatCode>General</c:formatCode>
                <c:ptCount val="8"/>
                <c:pt idx="0">
                  <c:v>114938</c:v>
                </c:pt>
                <c:pt idx="1">
                  <c:v>5303</c:v>
                </c:pt>
                <c:pt idx="2">
                  <c:v>12383</c:v>
                </c:pt>
                <c:pt idx="3">
                  <c:v>9</c:v>
                </c:pt>
                <c:pt idx="4">
                  <c:v>4.1721000000000001E-2</c:v>
                </c:pt>
                <c:pt idx="5">
                  <c:v>1480</c:v>
                </c:pt>
                <c:pt idx="6">
                  <c:v>1790</c:v>
                </c:pt>
                <c:pt idx="7">
                  <c:v>25</c:v>
                </c:pt>
              </c:numCache>
            </c:numRef>
          </c:val>
        </c:ser>
        <c:ser>
          <c:idx val="2"/>
          <c:order val="2"/>
          <c:tx>
            <c:strRef>
              <c:f>Sheet3!$H$87</c:f>
              <c:strCache>
                <c:ptCount val="1"/>
                <c:pt idx="0">
                  <c:v>256B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Sheet3!$E$88:$E$95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Sheet3!$H$88:$H$95</c:f>
              <c:numCache>
                <c:formatCode>General</c:formatCode>
                <c:ptCount val="8"/>
                <c:pt idx="0">
                  <c:v>114938</c:v>
                </c:pt>
                <c:pt idx="1">
                  <c:v>4905</c:v>
                </c:pt>
                <c:pt idx="2">
                  <c:v>12383</c:v>
                </c:pt>
                <c:pt idx="3">
                  <c:v>7</c:v>
                </c:pt>
                <c:pt idx="4">
                  <c:v>3.8580000000000003E-2</c:v>
                </c:pt>
                <c:pt idx="5">
                  <c:v>1420</c:v>
                </c:pt>
                <c:pt idx="6">
                  <c:v>1763</c:v>
                </c:pt>
                <c:pt idx="7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4818576"/>
        <c:axId val="206926464"/>
      </c:barChart>
      <c:catAx>
        <c:axId val="144818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26464"/>
        <c:crosses val="autoZero"/>
        <c:auto val="1"/>
        <c:lblAlgn val="ctr"/>
        <c:lblOffset val="100"/>
        <c:noMultiLvlLbl val="0"/>
      </c:catAx>
      <c:valAx>
        <c:axId val="20692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81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Simulation results (Cache 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Sheet3!$F$100</c:f>
              <c:strCache>
                <c:ptCount val="1"/>
                <c:pt idx="0">
                  <c:v>64B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Sheet3!$E$101:$E$108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Sheet3!$F$101:$F$108</c:f>
              <c:numCache>
                <c:formatCode>General</c:formatCode>
                <c:ptCount val="8"/>
                <c:pt idx="0">
                  <c:v>113428</c:v>
                </c:pt>
                <c:pt idx="1">
                  <c:v>5754</c:v>
                </c:pt>
                <c:pt idx="2">
                  <c:v>12108</c:v>
                </c:pt>
                <c:pt idx="3">
                  <c:v>6</c:v>
                </c:pt>
                <c:pt idx="4">
                  <c:v>4.5883E-2</c:v>
                </c:pt>
                <c:pt idx="5">
                  <c:v>1525</c:v>
                </c:pt>
                <c:pt idx="6">
                  <c:v>1837</c:v>
                </c:pt>
                <c:pt idx="7">
                  <c:v>27</c:v>
                </c:pt>
              </c:numCache>
            </c:numRef>
          </c:val>
        </c:ser>
        <c:ser>
          <c:idx val="1"/>
          <c:order val="1"/>
          <c:tx>
            <c:strRef>
              <c:f>Sheet3!$G$100</c:f>
              <c:strCache>
                <c:ptCount val="1"/>
                <c:pt idx="0">
                  <c:v>128B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Sheet3!$E$101:$E$108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Sheet3!$G$101:$G$108</c:f>
              <c:numCache>
                <c:formatCode>General</c:formatCode>
                <c:ptCount val="8"/>
                <c:pt idx="0">
                  <c:v>113428</c:v>
                </c:pt>
                <c:pt idx="1">
                  <c:v>5337</c:v>
                </c:pt>
                <c:pt idx="2">
                  <c:v>12108</c:v>
                </c:pt>
                <c:pt idx="3">
                  <c:v>7</c:v>
                </c:pt>
                <c:pt idx="4">
                  <c:v>4.2569000000000003E-2</c:v>
                </c:pt>
                <c:pt idx="5">
                  <c:v>1503</c:v>
                </c:pt>
                <c:pt idx="6">
                  <c:v>1784</c:v>
                </c:pt>
                <c:pt idx="7">
                  <c:v>32</c:v>
                </c:pt>
              </c:numCache>
            </c:numRef>
          </c:val>
        </c:ser>
        <c:ser>
          <c:idx val="2"/>
          <c:order val="2"/>
          <c:tx>
            <c:strRef>
              <c:f>Sheet3!$H$100</c:f>
              <c:strCache>
                <c:ptCount val="1"/>
                <c:pt idx="0">
                  <c:v>256B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Sheet3!$E$101:$E$108</c:f>
              <c:strCache>
                <c:ptCount val="8"/>
                <c:pt idx="0">
                  <c:v>number of reads</c:v>
                </c:pt>
                <c:pt idx="1">
                  <c:v> number of read misses</c:v>
                </c:pt>
                <c:pt idx="2">
                  <c:v> number of writes</c:v>
                </c:pt>
                <c:pt idx="3">
                  <c:v> write misses</c:v>
                </c:pt>
                <c:pt idx="4">
                  <c:v> total miss rate</c:v>
                </c:pt>
                <c:pt idx="5">
                  <c:v> number of writebacks</c:v>
                </c:pt>
                <c:pt idx="6">
                  <c:v> number of Invalidations</c:v>
                </c:pt>
                <c:pt idx="7">
                  <c:v> number of cache-to-cache transfers</c:v>
                </c:pt>
              </c:strCache>
            </c:strRef>
          </c:cat>
          <c:val>
            <c:numRef>
              <c:f>Sheet3!$H$101:$H$108</c:f>
              <c:numCache>
                <c:formatCode>General</c:formatCode>
                <c:ptCount val="8"/>
                <c:pt idx="0">
                  <c:v>113428</c:v>
                </c:pt>
                <c:pt idx="1">
                  <c:v>4945</c:v>
                </c:pt>
                <c:pt idx="2">
                  <c:v>12108</c:v>
                </c:pt>
                <c:pt idx="3">
                  <c:v>5</c:v>
                </c:pt>
                <c:pt idx="4">
                  <c:v>3.9431000000000001E-2</c:v>
                </c:pt>
                <c:pt idx="5">
                  <c:v>1445</c:v>
                </c:pt>
                <c:pt idx="6">
                  <c:v>1744</c:v>
                </c:pt>
                <c:pt idx="7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6927248"/>
        <c:axId val="206927640"/>
      </c:barChart>
      <c:catAx>
        <c:axId val="206927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27640"/>
        <c:crosses val="autoZero"/>
        <c:auto val="1"/>
        <c:lblAlgn val="ctr"/>
        <c:lblOffset val="100"/>
        <c:noMultiLvlLbl val="0"/>
      </c:catAx>
      <c:valAx>
        <c:axId val="206927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2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Stevens</dc:creator>
  <cp:keywords/>
  <dc:description/>
  <cp:lastModifiedBy>Joshua Stevens</cp:lastModifiedBy>
  <cp:revision>2</cp:revision>
  <dcterms:created xsi:type="dcterms:W3CDTF">2014-04-25T20:38:00Z</dcterms:created>
  <dcterms:modified xsi:type="dcterms:W3CDTF">2014-04-26T00:42:00Z</dcterms:modified>
</cp:coreProperties>
</file>