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0B2545"/>
          <w:sz w:val="46"/>
        </w:rPr>
        <w:t>Decision-safe auto-evaluation</w:t>
      </w:r>
    </w:p>
    <w:p>
      <w:pPr>
        <w:spacing w:after="160"/>
      </w:pPr>
      <w:r>
        <w:rPr>
          <w:rFonts w:ascii="Aptos" w:hAnsi="Aptos"/>
          <w:b/>
          <w:i w:val="0"/>
          <w:color w:val="2E74B5"/>
          <w:sz w:val="46"/>
        </w:rPr>
        <w:t>of robot policies</w:t>
      </w:r>
    </w:p>
    <w:p>
      <w:pPr>
        <w:spacing w:after="200"/>
      </w:pPr>
      <w:r>
        <w:rPr>
          <w:rFonts w:ascii="Aptos" w:hAnsi="Aptos"/>
          <w:b/>
          <w:i w:val="0"/>
          <w:color w:val="566270"/>
          <w:sz w:val="19"/>
        </w:rPr>
        <w:t>Jaya Krishna J  ·  thesis research prospectus  ·  Validate stage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color="E8EEF5"/>
              <w:start w:val="single" w:sz="6" w:color="E8EEF5"/>
              <w:bottom w:val="single" w:sz="6" w:color="E8EEF5"/>
              <w:end w:val="single" w:sz="6" w:color="E8EEF5"/>
              <w:insideH w:val="single" w:sz="6" w:color="E8EEF5"/>
              <w:insideV w:val="single" w:sz="6" w:color="E8EEF5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E74B5"/>
                <w:sz w:val="21"/>
              </w:rPr>
              <w:t xml:space="preserve">Research question  </w:t>
            </w: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Can a fail-safe policy-decision certificate reduce human review with VLM judgments while preserving simultaneous error control—and abstain to human-only inference when the evaluator cannot help?</w:t>
            </w:r>
          </w:p>
        </w:tc>
      </w:tr>
    </w:tbl>
    <w:p>
      <w:pPr>
        <w:pStyle w:val="Heading1"/>
      </w:pPr>
      <w:r>
        <w:t>Why this is a research problem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Episode accuracy does not establish policy-decision fidelity. Structured VLM errors can cancel for one comparison and amplify for another. The thesis therefore treats automated judgment as optional evidence, produces simultaneous superiority/equivalence decisions, and returns to human-only inference when a frozen gate fails.</w:t>
      </w:r>
    </w:p>
    <w:p>
      <w:pPr>
        <w:pStyle w:val="Heading1"/>
      </w:pPr>
      <w:r>
        <w:t>Preliminary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Matched human metrics</w:t>
            </w:r>
          </w:p>
        </w:tc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Public VLM predictions</w:t>
            </w:r>
          </w:p>
        </w:tc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Conditional label value</w:t>
            </w:r>
          </w:p>
        </w:tc>
      </w:tr>
      <w:tr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3,879 sessions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28 policy pairs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13.0-point mean shift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Binary success was saturated: both policies failed in 81.8% of sessions.</w:t>
            </w:r>
          </w:p>
        </w:tc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25 released runs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158 matched sessions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24 complete models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Every complete model changed at least one descriptive policy decision.</w:t>
            </w:r>
          </w:p>
        </w:tc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5 of 25 runs helped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~14-15% best-case gain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~25% harmful example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Fixed PPI helps only when the evaluator reduces residual variance.</w:t>
            </w:r>
          </w:p>
        </w:tc>
      </w:tr>
    </w:tbl>
    <w:p>
      <w:pPr>
        <w:spacing w:before="80" w:after="80"/>
      </w:pPr>
      <w:r>
        <w:rPr>
          <w:rFonts w:ascii="Aptos" w:hAnsi="Aptos"/>
          <w:b/>
          <w:i w:val="0"/>
          <w:color w:val="566270"/>
          <w:sz w:val="17"/>
        </w:rPr>
        <w:t xml:space="preserve">Evidence status: </w:t>
      </w:r>
      <w:r>
        <w:rPr>
          <w:rFonts w:ascii="Aptos" w:hAnsi="Aptos"/>
          <w:b w:val="0"/>
          <w:i/>
          <w:color w:val="566270"/>
          <w:sz w:val="17"/>
        </w:rPr>
        <w:t>exploratory. Released test artifacts informed method selection; the strengthened design separates evaluator audit from inference and adds new multi-rater validation.</w:t>
      </w:r>
    </w:p>
    <w:p>
      <w:pPr>
        <w:pStyle w:val="Heading1"/>
      </w:pPr>
      <w:r>
        <w:t>Defensible contribution</w:t>
      </w:r>
    </w:p>
    <w:p>
      <w:pPr>
        <w:keepNext w:val="0"/>
        <w:spacing w:before="0" w:after="120" w:line="264" w:lineRule="auto"/>
      </w:pPr>
      <w:r>
        <w:rPr>
          <w:rFonts w:ascii="Aptos" w:hAnsi="Aptos"/>
          <w:b/>
          <w:i w:val="0"/>
          <w:color w:val="0B2545"/>
          <w:sz w:val="22"/>
        </w:rPr>
        <w:t>A verified conservative certificate plus a research-hard graph-aware validity/no-harm target.</w:t>
      </w:r>
    </w:p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split-sample Bonferroni baseline now runs and fails closed. For an MASc/MSc, the contribution is its locked multi-rater and shift validation. For a PhD, the thesis must prove cross-fitted simultaneous validity and a high-probability no-harm bound; PPI plus a gate is not enough.</w:t>
      </w:r>
    </w:p>
    <w:p>
      <w:r>
        <w:br w:type="page"/>
      </w:r>
    </w:p>
    <w:p>
      <w:pPr>
        <w:pStyle w:val="Heading1"/>
      </w:pPr>
      <w:r>
        <w:t>Executable baseline and thesis risk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new roboeval certify command freezes the proxy frame, rejects audit/inference leakage and missing graph edges, gates residual variance, bias, and supported shift strata, then applies fixed PPI or the identical human-only fallback. Its Bonferroni-normal intervals are a transparent baseline—not the proposed graph-aware theorem.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Coverage gate</w:t>
            </w:r>
          </w:p>
        </w:tc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Cost gate</w:t>
            </w:r>
          </w:p>
        </w:tc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Abstention rule</w:t>
            </w:r>
          </w:p>
        </w:tc>
      </w:tr>
      <w:tr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Simultaneous 95% target</w:t>
            </w:r>
          </w:p>
        </w:tc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Review-time ratio below frozen threshold</w:t>
            </w:r>
          </w:p>
        </w:tc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B2545"/>
                <w:sz w:val="19"/>
              </w:rPr>
              <w:t>Human-only if any gate fails</w:t>
            </w:r>
          </w:p>
        </w:tc>
      </w:tr>
    </w:tbl>
    <w:p>
      <w:pPr>
        <w:pStyle w:val="Heading1"/>
      </w:pPr>
      <w:r>
        <w:t>Two-track validation</w:t>
      </w:r>
    </w:p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minimum track uses stable public episodes plus new blinded ratings from at least three raters per selected episode; it supports internal validation without waiting for a future release. A prospective lab frame with new tasks, policies, sites, or robot conditions is the preferred external-validation track.</w:t>
      </w:r>
    </w:p>
    <w:p>
      <w:pPr>
        <w:pStyle w:val="Heading1"/>
      </w:pPr>
      <w:r>
        <w:t>Research assets already built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Deterministic matched-policy inference and finite-population PPI simulation.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Runnable graph certificate with helpful, harmful, shift, leakage, and missing-edge tests.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Reference-aware calibration, two-phase adjudication, and fail-closed evidence checks.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A documented CLI, public-artifact fetchers, hashed manifests, and data-boundary enforcement.</w:t>
      </w:r>
    </w:p>
    <w:p>
      <w:pPr>
        <w:pStyle w:val="Heading1"/>
      </w:pPr>
      <w:r>
        <w:t>Twelve-month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70"/>
        <w:gridCol w:w="3690"/>
      </w:tblGrid>
      <w:tr>
        <w:trPr>
          <w:tblHeader w:val="true"/>
        </w:trPr>
        <w:tc>
          <w:tcPr>
            <w:tcW w:type="dxa" w:w="90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Months</w:t>
            </w:r>
          </w:p>
        </w:tc>
        <w:tc>
          <w:tcPr>
            <w:tcW w:type="dxa" w:w="477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Research output</w:t>
            </w:r>
          </w:p>
        </w:tc>
        <w:tc>
          <w:tcPr>
            <w:tcW w:type="dxa" w:w="369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 gate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1-2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Graph, margin, theorem target, simulation, ethics/data decision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Coverage survives adversarial proxies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3-4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Blinded multi-rater pilot and audit/inference split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Reliability, cost, and support pass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5-7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Locked comparison + graph-aware proof attempt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Validity/no-harm claim survives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8-9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Task/site shift or prospective lab validation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Internal vs external claims separated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10-12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Thesis, protocol archive, reproducibility release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Claim/privacy/accessibility pass</w:t>
            </w:r>
          </w:p>
        </w:tc>
      </w:tr>
    </w:tbl>
    <w:p>
      <w:pPr>
        <w:pStyle w:val="Heading1"/>
      </w:pPr>
      <w:r>
        <w:t>The supervision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color="E8EEF5"/>
              <w:start w:val="single" w:sz="6" w:color="E8EEF5"/>
              <w:bottom w:val="single" w:sz="6" w:color="E8EEF5"/>
              <w:end w:val="single" w:sz="6" w:color="E8EEF5"/>
              <w:insideH w:val="single" w:sz="6" w:color="E8EEF5"/>
              <w:insideV w:val="single" w:sz="6" w:color="E8EEF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21"/>
              </w:rPr>
              <w:t>Is cross-fitted graph-aware validity/no-harm a thesis-worthy core for this lab—and which prospective evaluation frame would make the robotics claim decisive?</w:t>
            </w:r>
          </w:p>
        </w:tc>
      </w:tr>
    </w:tbl>
    <w:p>
      <w:pPr>
        <w:spacing w:before="100" w:after="0" w:line="240" w:lineRule="auto"/>
      </w:pPr>
      <w:r>
        <w:rPr>
          <w:rFonts w:ascii="Aptos" w:hAnsi="Aptos"/>
          <w:b/>
          <w:i w:val="0"/>
          <w:color w:val="566270"/>
          <w:sz w:val="15"/>
        </w:rPr>
        <w:t xml:space="preserve">Selected sources: </w:t>
      </w:r>
      <w:r>
        <w:rPr>
          <w:rFonts w:ascii="Aptos" w:hAnsi="Aptos"/>
          <w:b w:val="0"/>
          <w:i w:val="0"/>
          <w:color w:val="566270"/>
          <w:sz w:val="15"/>
        </w:rPr>
        <w:t>RoboArena; RoboReward; PPI/PPI++; SureSim; Post-hoc Regression; MultiPPI; AM-PPI; Prediction-Powered E-Values. Full novelty and claim boundaries: docs/thesis-proposal.md.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66270"/>
        <w:sz w:val="15"/>
      </w:rPr>
      <w:t>Jaya Krishna J  |  24 August 2026  |  Executable baseline; theorem and multi-rater validation proposed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66270"/>
        <w:sz w:val="16"/>
      </w:rPr>
      <w:t>RESEARCH PROSPECTUS  |  REDE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Decision-safe auto-evaluation of robot policies</dc:title>
  <dc:subject>Professor-facing thesis research prospectus</dc:subject>
  <dc:creator>Jaya Krishna J</dc:creator>
  <cp:keywords>robot policy evaluation, VLM, prediction-powered inference, thesis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