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i w:val="0"/>
          <w:color w:val="0B2545"/>
          <w:sz w:val="46"/>
        </w:rPr>
        <w:t>Decision-safe auto-evaluation</w:t>
      </w:r>
    </w:p>
    <w:p>
      <w:pPr>
        <w:spacing w:after="160"/>
      </w:pPr>
      <w:r>
        <w:rPr>
          <w:rFonts w:ascii="Aptos" w:hAnsi="Aptos"/>
          <w:b/>
          <w:i w:val="0"/>
          <w:color w:val="2E74B5"/>
          <w:sz w:val="46"/>
        </w:rPr>
        <w:t>of robot policies</w:t>
      </w:r>
    </w:p>
    <w:p>
      <w:pPr>
        <w:spacing w:after="200"/>
      </w:pPr>
      <w:r>
        <w:rPr>
          <w:rFonts w:ascii="Aptos" w:hAnsi="Aptos"/>
          <w:b/>
          <w:i w:val="0"/>
          <w:color w:val="566270"/>
          <w:sz w:val="19"/>
        </w:rPr>
        <w:t>Jaya Krishna J  ·  thesis research prospectus  ·  Validate stage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color="E8EEF5"/>
              <w:start w:val="single" w:sz="6" w:color="E8EEF5"/>
              <w:bottom w:val="single" w:sz="6" w:color="E8EEF5"/>
              <w:end w:val="single" w:sz="6" w:color="E8EEF5"/>
              <w:insideH w:val="single" w:sz="6" w:color="E8EEF5"/>
              <w:insideV w:val="single" w:sz="6" w:color="E8EEF5"/>
            </w:tcBorders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i w:val="0"/>
                <w:color w:val="2E74B5"/>
                <w:sz w:val="21"/>
              </w:rPr>
              <w:t xml:space="preserve">Research question  </w:t>
            </w:r>
            <w:r>
              <w:rPr>
                <w:rFonts w:ascii="Aptos" w:hAnsi="Aptos"/>
                <w:b w:val="0"/>
                <w:i w:val="0"/>
                <w:color w:val="0B2545"/>
                <w:sz w:val="21"/>
              </w:rPr>
              <w:t>Can a fail-safe policy-decision certificate reduce human review with VLM judgments while preserving simultaneous error control—and abstain to human-only inference when the evaluator cannot help?</w:t>
            </w:r>
          </w:p>
        </w:tc>
      </w:tr>
    </w:tbl>
    <w:p>
      <w:pPr>
        <w:pStyle w:val="Heading1"/>
      </w:pPr>
      <w:r>
        <w:t>Why this is a research problem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0B2545"/>
          <w:sz w:val="22"/>
        </w:rPr>
        <w:t>Episode accuracy does not establish policy-decision fidelity. Structured VLM errors can cancel for one comparison and amplify for another. The thesis therefore treats automated judgment as optional evidence, produces simultaneous superiority/equivalence decisions, and returns to human-only inference when a frozen gate fails.</w:t>
      </w:r>
    </w:p>
    <w:p>
      <w:pPr>
        <w:pStyle w:val="Heading1"/>
      </w:pPr>
      <w:r>
        <w:t>Preliminary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0B2545"/>
            <w:tcBorders>
              <w:top w:val="single" w:sz="6" w:color="0B2545"/>
              <w:start w:val="single" w:sz="6" w:color="0B2545"/>
              <w:bottom w:val="single" w:sz="6" w:color="0B2545"/>
              <w:end w:val="single" w:sz="6" w:color="0B2545"/>
              <w:insideH w:val="single" w:sz="6" w:color="0B2545"/>
              <w:insideV w:val="single" w:sz="6" w:color="0B254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Matched human metrics</w:t>
            </w:r>
          </w:p>
        </w:tc>
        <w:tc>
          <w:tcPr>
            <w:tcW w:type="dxa" w:w="3120"/>
            <w:shd w:fill="0B2545"/>
            <w:tcBorders>
              <w:top w:val="single" w:sz="6" w:color="0B2545"/>
              <w:start w:val="single" w:sz="6" w:color="0B2545"/>
              <w:bottom w:val="single" w:sz="6" w:color="0B2545"/>
              <w:end w:val="single" w:sz="6" w:color="0B2545"/>
              <w:insideH w:val="single" w:sz="6" w:color="0B2545"/>
              <w:insideV w:val="single" w:sz="6" w:color="0B254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Public VLM predictions</w:t>
            </w:r>
          </w:p>
        </w:tc>
        <w:tc>
          <w:tcPr>
            <w:tcW w:type="dxa" w:w="3120"/>
            <w:shd w:fill="0B2545"/>
            <w:tcBorders>
              <w:top w:val="single" w:sz="6" w:color="0B2545"/>
              <w:start w:val="single" w:sz="6" w:color="0B2545"/>
              <w:bottom w:val="single" w:sz="6" w:color="0B2545"/>
              <w:end w:val="single" w:sz="6" w:color="0B2545"/>
              <w:insideH w:val="single" w:sz="6" w:color="0B2545"/>
              <w:insideV w:val="single" w:sz="6" w:color="0B254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Conditional label value</w:t>
            </w:r>
          </w:p>
        </w:tc>
      </w:tr>
      <w:tr>
        <w:tc>
          <w:tcPr>
            <w:tcW w:type="dxa" w:w="3120"/>
            <w:shd w:fill="F4F6F9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22"/>
              </w:rPr>
              <w:t>3,879 sessions</w:t>
            </w:r>
            <w:r>
              <w:br/>
            </w:r>
            <w:r>
              <w:rPr>
                <w:rFonts w:ascii="Aptos" w:hAnsi="Aptos"/>
                <w:b/>
                <w:i w:val="0"/>
                <w:color w:val="2E74B5"/>
                <w:sz w:val="22"/>
              </w:rPr>
              <w:t>28 policy pairs</w:t>
            </w:r>
            <w:r>
              <w:br/>
            </w:r>
            <w:r>
              <w:rPr>
                <w:rFonts w:ascii="Aptos" w:hAnsi="Aptos"/>
                <w:b/>
                <w:i w:val="0"/>
                <w:color w:val="2E74B5"/>
                <w:sz w:val="22"/>
              </w:rPr>
              <w:t>13.0-point mean shift</w:t>
            </w:r>
          </w:p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B2545"/>
                <w:sz w:val="17"/>
              </w:rPr>
              <w:t>Binary success was saturated: both policies failed in 81.8% of sessions.</w:t>
            </w:r>
          </w:p>
        </w:tc>
        <w:tc>
          <w:tcPr>
            <w:tcW w:type="dxa" w:w="3120"/>
            <w:shd w:fill="F4F6F9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22"/>
              </w:rPr>
              <w:t>25 released runs</w:t>
            </w:r>
            <w:r>
              <w:br/>
            </w:r>
            <w:r>
              <w:rPr>
                <w:rFonts w:ascii="Aptos" w:hAnsi="Aptos"/>
                <w:b/>
                <w:i w:val="0"/>
                <w:color w:val="2E74B5"/>
                <w:sz w:val="22"/>
              </w:rPr>
              <w:t>158 matched sessions</w:t>
            </w:r>
            <w:r>
              <w:br/>
            </w:r>
            <w:r>
              <w:rPr>
                <w:rFonts w:ascii="Aptos" w:hAnsi="Aptos"/>
                <w:b/>
                <w:i w:val="0"/>
                <w:color w:val="2E74B5"/>
                <w:sz w:val="22"/>
              </w:rPr>
              <w:t>24 complete models</w:t>
            </w:r>
          </w:p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B2545"/>
                <w:sz w:val="17"/>
              </w:rPr>
              <w:t>Every complete model changed at least one descriptive policy decision.</w:t>
            </w:r>
          </w:p>
        </w:tc>
        <w:tc>
          <w:tcPr>
            <w:tcW w:type="dxa" w:w="3120"/>
            <w:shd w:fill="F4F6F9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22"/>
              </w:rPr>
              <w:t>5 of 25 runs helped</w:t>
            </w:r>
            <w:r>
              <w:br/>
            </w:r>
            <w:r>
              <w:rPr>
                <w:rFonts w:ascii="Aptos" w:hAnsi="Aptos"/>
                <w:b/>
                <w:i w:val="0"/>
                <w:color w:val="2E74B5"/>
                <w:sz w:val="22"/>
              </w:rPr>
              <w:t>~14-15% best-case gain</w:t>
            </w:r>
            <w:r>
              <w:br/>
            </w:r>
            <w:r>
              <w:rPr>
                <w:rFonts w:ascii="Aptos" w:hAnsi="Aptos"/>
                <w:b/>
                <w:i w:val="0"/>
                <w:color w:val="2E74B5"/>
                <w:sz w:val="22"/>
              </w:rPr>
              <w:t>~25% harmful example</w:t>
            </w:r>
          </w:p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B2545"/>
                <w:sz w:val="17"/>
              </w:rPr>
              <w:t>Fixed PPI helps only when the evaluator reduces residual variance.</w:t>
            </w:r>
          </w:p>
        </w:tc>
      </w:tr>
    </w:tbl>
    <w:p>
      <w:pPr>
        <w:spacing w:before="80" w:after="80"/>
      </w:pPr>
      <w:r>
        <w:rPr>
          <w:rFonts w:ascii="Aptos" w:hAnsi="Aptos"/>
          <w:b/>
          <w:i w:val="0"/>
          <w:color w:val="566270"/>
          <w:sz w:val="17"/>
        </w:rPr>
        <w:t xml:space="preserve">Evidence status: </w:t>
      </w:r>
      <w:r>
        <w:rPr>
          <w:rFonts w:ascii="Aptos" w:hAnsi="Aptos"/>
          <w:b w:val="0"/>
          <w:i/>
          <w:color w:val="566270"/>
          <w:sz w:val="17"/>
        </w:rPr>
        <w:t>exploratory. Released test artifacts informed method selection; the strengthened design separates evaluator audit from inference and adds new multi-rater validation.</w:t>
      </w:r>
    </w:p>
    <w:p>
      <w:pPr>
        <w:pStyle w:val="Heading1"/>
      </w:pPr>
      <w:r>
        <w:t>Contribution boundary</w:t>
      </w:r>
    </w:p>
    <w:p>
      <w:pPr>
        <w:keepNext w:val="0"/>
        <w:spacing w:before="0" w:after="120" w:line="264" w:lineRule="auto"/>
      </w:pPr>
      <w:r>
        <w:rPr>
          <w:rFonts w:ascii="Aptos" w:hAnsi="Aptos"/>
          <w:b/>
          <w:i w:val="0"/>
          <w:color w:val="0B2545"/>
          <w:sz w:val="22"/>
        </w:rPr>
        <w:t>A verified conservative certificate plus an unresolved graph-aware validity/no-harm target.</w:t>
      </w:r>
    </w:p>
    <w:p>
      <w:pPr>
        <w:keepNext w:val="0"/>
        <w:spacing w:before="0" w:after="40" w:line="264" w:lineRule="auto"/>
      </w:pPr>
      <w:r>
        <w:rPr>
          <w:rFonts w:ascii="Aptos" w:hAnsi="Aptos"/>
          <w:b w:val="0"/>
          <w:i w:val="0"/>
          <w:color w:val="0B2545"/>
          <w:sz w:val="22"/>
        </w:rPr>
        <w:t>The split-sample Bonferroni baseline now runs and fails closed. For an MASc/MSc, the contribution is its locked multi-rater and shift validation. For a PhD, the thesis must prove cross-fitted simultaneous validity and a high-probability no-harm bound; PPI plus a gate is not enough.</w:t>
      </w:r>
    </w:p>
    <w:p>
      <w:r>
        <w:br w:type="page"/>
      </w:r>
    </w:p>
    <w:p>
      <w:pPr>
        <w:pStyle w:val="Heading1"/>
      </w:pPr>
      <w:r>
        <w:t>Executable baseline and thesis risk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0B2545"/>
          <w:sz w:val="22"/>
        </w:rPr>
        <w:t>The new roboeval certify command freezes the proxy frame, rejects audit/inference leakage and missing graph edges, gates residual variance, bias, and supported shift strata, then applies fixed PPI or the identical human-only fallback. Its Bonferroni-normal intervals are a transparent baseline—not the proposed graph-aware theorem.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19"/>
              </w:rPr>
              <w:t>Coverage gate</w:t>
            </w:r>
          </w:p>
        </w:tc>
        <w:tc>
          <w:tcPr>
            <w:tcW w:type="dxa" w:w="3120"/>
            <w:shd w:fill="E8EEF5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19"/>
              </w:rPr>
              <w:t>Cost gate</w:t>
            </w:r>
          </w:p>
        </w:tc>
        <w:tc>
          <w:tcPr>
            <w:tcW w:type="dxa" w:w="3120"/>
            <w:shd w:fill="E8EEF5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19"/>
              </w:rPr>
              <w:t>Abstention rule</w:t>
            </w:r>
          </w:p>
        </w:tc>
      </w:tr>
      <w:tr>
        <w:tc>
          <w:tcPr>
            <w:tcW w:type="dxa" w:w="312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Simultaneous 95% target</w:t>
            </w:r>
          </w:p>
        </w:tc>
        <w:tc>
          <w:tcPr>
            <w:tcW w:type="dxa" w:w="312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Review-time ratio below frozen threshold</w:t>
            </w:r>
          </w:p>
        </w:tc>
        <w:tc>
          <w:tcPr>
            <w:tcW w:type="dxa" w:w="312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B2545"/>
                <w:sz w:val="19"/>
              </w:rPr>
              <w:t>Human-only if any gate fails</w:t>
            </w:r>
          </w:p>
        </w:tc>
      </w:tr>
    </w:tbl>
    <w:p>
      <w:pPr>
        <w:pStyle w:val="Heading1"/>
      </w:pPr>
      <w:r>
        <w:t>Two-track validation</w:t>
      </w:r>
    </w:p>
    <w:p>
      <w:pPr>
        <w:keepNext w:val="0"/>
        <w:spacing w:before="0" w:after="40" w:line="264" w:lineRule="auto"/>
      </w:pPr>
      <w:r>
        <w:rPr>
          <w:rFonts w:ascii="Aptos" w:hAnsi="Aptos"/>
          <w:b w:val="0"/>
          <w:i w:val="0"/>
          <w:color w:val="0B2545"/>
          <w:sz w:val="22"/>
        </w:rPr>
        <w:t>The minimum track uses stable public episodes plus new blinded ratings from at least three raters per selected episode; it supports internal validation without waiting for a future release. A prospective evaluation frame with new tasks, policies, sites, or robot conditions is the preferred external-validation track.</w:t>
      </w:r>
    </w:p>
    <w:p>
      <w:pPr>
        <w:pStyle w:val="Heading1"/>
      </w:pPr>
      <w:r>
        <w:t>Research assets already built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B2545"/>
          <w:sz w:val="19"/>
        </w:rPr>
        <w:t>Deterministic matched-policy inference and finite-population PPI simulation.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B2545"/>
          <w:sz w:val="19"/>
        </w:rPr>
        <w:t>Runnable graph certificate with helpful, harmful, shift, leakage, and missing-edge tests.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B2545"/>
          <w:sz w:val="19"/>
        </w:rPr>
        <w:t>Reference-aware calibration, two-phase adjudication, and fail-closed evidence checks.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B2545"/>
          <w:sz w:val="19"/>
        </w:rPr>
        <w:t>A documented CLI, public-artifact fetchers, hashed manifests, and data-boundary enforcement.</w:t>
      </w:r>
    </w:p>
    <w:p>
      <w:pPr>
        <w:pStyle w:val="Heading1"/>
      </w:pPr>
      <w:r>
        <w:t>Twelve-month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770"/>
        <w:gridCol w:w="3690"/>
      </w:tblGrid>
      <w:tr>
        <w:trPr>
          <w:tblHeader w:val="true"/>
        </w:trPr>
        <w:tc>
          <w:tcPr>
            <w:tcW w:type="dxa" w:w="900"/>
            <w:shd w:fill="0B2545"/>
            <w:tcBorders>
              <w:top w:val="single" w:sz="6" w:color="0B2545"/>
              <w:start w:val="single" w:sz="6" w:color="0B2545"/>
              <w:bottom w:val="single" w:sz="6" w:color="0B2545"/>
              <w:end w:val="single" w:sz="6" w:color="0B2545"/>
              <w:insideH w:val="single" w:sz="6" w:color="0B2545"/>
              <w:insideV w:val="single" w:sz="6" w:color="0B254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Months</w:t>
            </w:r>
          </w:p>
        </w:tc>
        <w:tc>
          <w:tcPr>
            <w:tcW w:type="dxa" w:w="4770"/>
            <w:shd w:fill="0B2545"/>
            <w:tcBorders>
              <w:top w:val="single" w:sz="6" w:color="0B2545"/>
              <w:start w:val="single" w:sz="6" w:color="0B2545"/>
              <w:bottom w:val="single" w:sz="6" w:color="0B2545"/>
              <w:end w:val="single" w:sz="6" w:color="0B2545"/>
              <w:insideH w:val="single" w:sz="6" w:color="0B2545"/>
              <w:insideV w:val="single" w:sz="6" w:color="0B254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Research output</w:t>
            </w:r>
          </w:p>
        </w:tc>
        <w:tc>
          <w:tcPr>
            <w:tcW w:type="dxa" w:w="3690"/>
            <w:shd w:fill="0B2545"/>
            <w:tcBorders>
              <w:top w:val="single" w:sz="6" w:color="0B2545"/>
              <w:start w:val="single" w:sz="6" w:color="0B2545"/>
              <w:bottom w:val="single" w:sz="6" w:color="0B2545"/>
              <w:end w:val="single" w:sz="6" w:color="0B2545"/>
              <w:insideH w:val="single" w:sz="6" w:color="0B2545"/>
              <w:insideV w:val="single" w:sz="6" w:color="0B254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Decision gate</w:t>
            </w:r>
          </w:p>
        </w:tc>
      </w:tr>
      <w:tr>
        <w:tc>
          <w:tcPr>
            <w:tcW w:type="dxa" w:w="90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6"/>
              </w:rPr>
              <w:t>1-2</w:t>
            </w:r>
          </w:p>
        </w:tc>
        <w:tc>
          <w:tcPr>
            <w:tcW w:type="dxa" w:w="477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Graph, margin, theorem target, simulation, ethics/data decision</w:t>
            </w:r>
          </w:p>
        </w:tc>
        <w:tc>
          <w:tcPr>
            <w:tcW w:type="dxa" w:w="369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Coverage survives adversarial proxies</w:t>
            </w:r>
          </w:p>
        </w:tc>
      </w:tr>
      <w:tr>
        <w:tc>
          <w:tcPr>
            <w:tcW w:type="dxa" w:w="90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6"/>
              </w:rPr>
              <w:t>3-4</w:t>
            </w:r>
          </w:p>
        </w:tc>
        <w:tc>
          <w:tcPr>
            <w:tcW w:type="dxa" w:w="477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Blinded multi-rater pilot and audit/inference split</w:t>
            </w:r>
          </w:p>
        </w:tc>
        <w:tc>
          <w:tcPr>
            <w:tcW w:type="dxa" w:w="369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Reliability, cost, and support pass</w:t>
            </w:r>
          </w:p>
        </w:tc>
      </w:tr>
      <w:tr>
        <w:tc>
          <w:tcPr>
            <w:tcW w:type="dxa" w:w="90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6"/>
              </w:rPr>
              <w:t>5-7</w:t>
            </w:r>
          </w:p>
        </w:tc>
        <w:tc>
          <w:tcPr>
            <w:tcW w:type="dxa" w:w="477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Locked comparison + graph-aware proof attempt</w:t>
            </w:r>
          </w:p>
        </w:tc>
        <w:tc>
          <w:tcPr>
            <w:tcW w:type="dxa" w:w="369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Validity/no-harm claim survives</w:t>
            </w:r>
          </w:p>
        </w:tc>
      </w:tr>
      <w:tr>
        <w:tc>
          <w:tcPr>
            <w:tcW w:type="dxa" w:w="90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6"/>
              </w:rPr>
              <w:t>8-9</w:t>
            </w:r>
          </w:p>
        </w:tc>
        <w:tc>
          <w:tcPr>
            <w:tcW w:type="dxa" w:w="477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Task/site shift or prospective validation</w:t>
            </w:r>
          </w:p>
        </w:tc>
        <w:tc>
          <w:tcPr>
            <w:tcW w:type="dxa" w:w="369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Internal vs external claims separated</w:t>
            </w:r>
          </w:p>
        </w:tc>
      </w:tr>
      <w:tr>
        <w:tc>
          <w:tcPr>
            <w:tcW w:type="dxa" w:w="90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B2545"/>
                <w:sz w:val="16"/>
              </w:rPr>
              <w:t>10-12</w:t>
            </w:r>
          </w:p>
        </w:tc>
        <w:tc>
          <w:tcPr>
            <w:tcW w:type="dxa" w:w="477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Thesis, protocol archive, reproducibility release</w:t>
            </w:r>
          </w:p>
        </w:tc>
        <w:tc>
          <w:tcPr>
            <w:tcW w:type="dxa" w:w="3690"/>
            <w:tcBorders>
              <w:top w:val="single" w:sz="6" w:color="D9DEE5"/>
              <w:start w:val="single" w:sz="6" w:color="D9DEE5"/>
              <w:bottom w:val="single" w:sz="6" w:color="D9DEE5"/>
              <w:end w:val="single" w:sz="6" w:color="D9DEE5"/>
              <w:insideH w:val="single" w:sz="6" w:color="D9DEE5"/>
              <w:insideV w:val="single" w:sz="6" w:color="D9DE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6"/>
              </w:rPr>
              <w:t>Claim/privacy/accessibility pass</w:t>
            </w:r>
          </w:p>
        </w:tc>
      </w:tr>
    </w:tbl>
    <w:p>
      <w:pPr>
        <w:pStyle w:val="Heading1"/>
      </w:pPr>
      <w:r>
        <w:t>Open research question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  <w:tcBorders>
              <w:top w:val="single" w:sz="6" w:color="E8EEF5"/>
              <w:start w:val="single" w:sz="6" w:color="E8EEF5"/>
              <w:bottom w:val="single" w:sz="6" w:color="E8EEF5"/>
              <w:end w:val="single" w:sz="6" w:color="E8EEF5"/>
              <w:insideH w:val="single" w:sz="6" w:color="E8EEF5"/>
              <w:insideV w:val="single" w:sz="6" w:color="E8EEF5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B2545"/>
                <w:sz w:val="21"/>
              </w:rPr>
              <w:t>Under which assumptions and evaluation frames can cross-fitted graph-aware proxy selection preserve simultaneous validity and improve on human-only inference?</w:t>
            </w:r>
          </w:p>
        </w:tc>
      </w:tr>
    </w:tbl>
    <w:p>
      <w:pPr>
        <w:spacing w:before="100" w:after="0" w:line="240" w:lineRule="auto"/>
      </w:pPr>
      <w:r>
        <w:rPr>
          <w:rFonts w:ascii="Aptos" w:hAnsi="Aptos"/>
          <w:b/>
          <w:i w:val="0"/>
          <w:color w:val="566270"/>
          <w:sz w:val="15"/>
        </w:rPr>
        <w:t xml:space="preserve">Selected sources: </w:t>
      </w:r>
      <w:r>
        <w:rPr>
          <w:rFonts w:ascii="Aptos" w:hAnsi="Aptos"/>
          <w:b w:val="0"/>
          <w:i w:val="0"/>
          <w:color w:val="566270"/>
          <w:sz w:val="15"/>
        </w:rPr>
        <w:t>RoboArena; RoboReward; PPI/PPI++; SureSim; Post-hoc Regression; MultiPPI; AM-PPI; Prediction-Powered E-Values. Full novelty and claim boundaries: docs/thesis-proposal.md.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66270"/>
        <w:sz w:val="15"/>
      </w:rPr>
      <w:t>Jaya Krishna J  |  24 August 2026  |  Thesis research brief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66270"/>
        <w:sz w:val="16"/>
      </w:rPr>
      <w:t>RESEARCH PROSPECTUS  |  REDE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Decision-safe auto-evaluation of robot policies</dc:title>
  <dc:subject>Thesis research brief</dc:subject>
  <dc:creator>Jaya Krishna J</dc:creator>
  <cp:keywords>robot policy evaluation, VLM, prediction-powered inference, thesis proposal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