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60" w:line="252" w:lineRule="auto"/>
        <w:jc w:val="center"/>
      </w:pPr>
      <w:r>
        <w:rPr>
          <w:rFonts w:ascii="Aptos Display" w:hAnsi="Aptos Display"/>
          <w:b/>
          <w:color w:val="1F4E79"/>
          <w:sz w:val="46"/>
        </w:rPr>
        <w:t>Hackathon 2 — ¿La escala cambia la historia?</w:t>
      </w:r>
    </w:p>
    <w:p>
      <w:pPr>
        <w:spacing w:after="60" w:line="252" w:lineRule="auto"/>
        <w:jc w:val="center"/>
      </w:pPr>
      <w:r>
        <w:rPr>
          <w:rFonts w:ascii="Aptos" w:hAnsi="Aptos"/>
          <w:b/>
          <w:color w:val="595959"/>
          <w:sz w:val="21"/>
        </w:rPr>
        <w:t>PCA con Palmer Penguins | Trabajo en parejas | 90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9936"/>
      </w:tblGrid>
      <w:tr>
        <w:tc>
          <w:tcPr>
            <w:tcW w:type="dxa" w:w="9936"/>
            <w:vAlign w:val="center"/>
            <w:shd w:fill="EAF2F8"/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after="0" w:line="252" w:lineRule="auto"/>
              <w:jc w:val="both"/>
            </w:pPr>
            <w:r>
              <w:rPr>
                <w:b/>
              </w:rPr>
              <w:t xml:space="preserve">Escenario. </w:t>
            </w:r>
            <w:r>
              <w:t>Un equipo debe resumir cuatro mediciones físicas de pingüinos en una representación de menor dimensión. Una persona propone aplicar PCA después de centrar los datos; otra advierte que la masa está en gramos y las demás variables en milímetros. Su equipo debe decidir, con evidencia reproducible, si la escala cambia la historia que cuenta PCA.</w:t>
            </w:r>
          </w:p>
        </w:tc>
      </w:tr>
    </w:tbl>
    <w:p>
      <w:pPr>
        <w:pStyle w:val="Heading1"/>
        <w:keepNext/>
      </w:pPr>
      <w:r>
        <w:t>Objetivo y pregunta central</w:t>
      </w:r>
    </w:p>
    <w:p>
      <w:pPr>
        <w:spacing w:after="60" w:line="252" w:lineRule="auto"/>
        <w:jc w:val="both"/>
      </w:pPr>
      <w:r>
        <w:t>El objetivo es usar SVD para construir PCA, comparar dos preprocesamientos y evaluar qué información se conserva al reducir la dimensión. La pregunta central es: ¿cómo cambian las componentes principales y las conclusiones cuando se usan las unidades originales o se estandarizan las variables?</w:t>
      </w:r>
    </w:p>
    <w:p>
      <w:pPr>
        <w:pStyle w:val="Heading1"/>
        <w:keepNext/>
      </w:pPr>
      <w:r>
        <w:t>Datos disponibles</w:t>
      </w:r>
    </w:p>
    <w:p>
      <w:pPr>
        <w:spacing w:after="60" w:line="252" w:lineRule="auto"/>
        <w:jc w:val="both"/>
      </w:pPr>
      <w:r>
        <w:t>El paquete contiene una copia local del conjunto Palmer Penguins. No se requiere conexión a Internet. El archivo original tiene 344 filas; dos carecen de las cuatro mediciones numéricas. La columna species se usa únicamente para colorear e interpretar la proyección, no para calcular PCA.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744"/>
            <w:shd w:fill="D9EAF7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6192"/>
            <w:shd w:fill="D9EAF7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Significado y unidad</w:t>
            </w:r>
          </w:p>
        </w:tc>
      </w:tr>
      <w:tr>
        <w:tc>
          <w:tcPr>
            <w:tcW w:type="dxa" w:w="374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species</w:t>
            </w:r>
          </w:p>
        </w:tc>
        <w:tc>
          <w:tcPr>
            <w:tcW w:type="dxa" w:w="619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especie: Adelie, Chinstrap o Gentoo</w:t>
            </w:r>
          </w:p>
        </w:tc>
      </w:tr>
      <w:tr>
        <w:tc>
          <w:tcPr>
            <w:tcW w:type="dxa" w:w="374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bill_length_mm</w:t>
            </w:r>
          </w:p>
        </w:tc>
        <w:tc>
          <w:tcPr>
            <w:tcW w:type="dxa" w:w="619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longitud del pico, en milímetros</w:t>
            </w:r>
          </w:p>
        </w:tc>
      </w:tr>
      <w:tr>
        <w:tc>
          <w:tcPr>
            <w:tcW w:type="dxa" w:w="374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bill_depth_mm</w:t>
            </w:r>
          </w:p>
        </w:tc>
        <w:tc>
          <w:tcPr>
            <w:tcW w:type="dxa" w:w="619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profundidad del pico, en milímetros</w:t>
            </w:r>
          </w:p>
        </w:tc>
      </w:tr>
      <w:tr>
        <w:tc>
          <w:tcPr>
            <w:tcW w:type="dxa" w:w="374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flipper_length_mm</w:t>
            </w:r>
          </w:p>
        </w:tc>
        <w:tc>
          <w:tcPr>
            <w:tcW w:type="dxa" w:w="619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longitud de la aleta, en milímetros</w:t>
            </w:r>
          </w:p>
        </w:tc>
      </w:tr>
      <w:tr>
        <w:tc>
          <w:tcPr>
            <w:tcW w:type="dxa" w:w="374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body_mass_g</w:t>
            </w:r>
          </w:p>
        </w:tc>
        <w:tc>
          <w:tcPr>
            <w:tcW w:type="dxa" w:w="619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masa corporal, en gramos</w:t>
            </w:r>
          </w:p>
        </w:tc>
      </w:tr>
    </w:tbl>
    <w:p>
      <w:pPr>
        <w:pStyle w:val="Heading1"/>
        <w:keepNext/>
      </w:pPr>
      <w:r>
        <w:t>Condiciones de trabajo</w:t>
      </w:r>
    </w:p>
    <w:p>
      <w:pPr>
        <w:pStyle w:val="ListBullet"/>
        <w:spacing w:after="60" w:line="252" w:lineRule="auto"/>
        <w:jc w:val="both"/>
      </w:pPr>
      <w:r>
        <w:t>Trabajen en parejas. Una persona conduce el código y la otra verifica cálculos e interpretaciones; intercambien roles después de la Tarea 3.</w:t>
      </w:r>
    </w:p>
    <w:p>
      <w:pPr>
        <w:pStyle w:val="ListBullet"/>
        <w:spacing w:after="60" w:line="252" w:lineRule="auto"/>
        <w:jc w:val="both"/>
      </w:pPr>
      <w:r>
        <w:t>Usen numpy.linalg.svd. No usen sklearn.decomposition.PCA: el objetivo es demostrar que comprenden el procedimiento.</w:t>
      </w:r>
    </w:p>
    <w:p>
      <w:pPr>
        <w:pStyle w:val="ListBullet"/>
        <w:spacing w:after="60" w:line="252" w:lineRule="auto"/>
        <w:jc w:val="both"/>
      </w:pPr>
      <w:r>
        <w:t>Las respuestas escritas deben citar resultados numéricos o elementos del gráfico. Un gráfico sin interpretación no demuestra comprensión.</w:t>
      </w:r>
    </w:p>
    <w:p>
      <w:pPr>
        <w:pStyle w:val="ListBullet"/>
        <w:spacing w:after="60" w:line="252" w:lineRule="auto"/>
        <w:jc w:val="both"/>
      </w:pPr>
      <w:r>
        <w:t>No modifiquen data/penguins.csv. Guarden la figura en output/pca_penguins.png.</w:t>
      </w:r>
    </w:p>
    <w:p>
      <w:pPr>
        <w:pStyle w:val="Heading1"/>
        <w:keepNext/>
      </w:pPr>
      <w:r>
        <w:t>Tareas</w:t>
      </w:r>
    </w:p>
    <w:p>
      <w:pPr>
        <w:pStyle w:val="Heading2"/>
        <w:keepNext/>
      </w:pPr>
      <w:r>
        <w:t>Tarea 1. Auditar y limpiar los datos — 10 minutos</w:t>
      </w:r>
    </w:p>
    <w:p>
      <w:pPr>
        <w:pStyle w:val="ListBullet"/>
        <w:spacing w:after="60" w:line="252" w:lineRule="auto"/>
        <w:jc w:val="both"/>
      </w:pPr>
      <w:r>
        <w:t>Cargar el CSV, revisar forma, columnas y faltantes de species y las cuatro mediciones.</w:t>
      </w:r>
    </w:p>
    <w:p>
      <w:pPr>
        <w:pStyle w:val="ListBullet"/>
        <w:spacing w:after="60" w:line="252" w:lineRule="auto"/>
        <w:jc w:val="both"/>
      </w:pPr>
      <w:r>
        <w:t>Eliminar únicamente las filas incompletas para esas cinco columnas y construir una matriz numérica X de tamaño n × 4.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1. </w:t>
      </w:r>
      <w:r>
        <w:t>Indicar cuántas filas se eliminan, por qué es razonable aquí y qué limitación tiene eliminar observaciones incompletas.</w:t>
      </w:r>
    </w:p>
    <w:p>
      <w:pPr>
        <w:pStyle w:val="Heading2"/>
        <w:keepNext/>
      </w:pPr>
      <w:r>
        <w:t>Tarea 2. Predecir y preparar las matrices — 10 minutos</w:t>
      </w:r>
    </w:p>
    <w:p>
      <w:pPr>
        <w:pStyle w:val="ListBullet"/>
        <w:spacing w:after="60" w:line="252" w:lineRule="auto"/>
        <w:jc w:val="both"/>
      </w:pPr>
      <w:r>
        <w:t>Antes de calcular PCA, comparar unidades, rangos y desviaciones estándar. Predecir qué variable dominará PC1 si solo se centra la matriz. Explicar la razón.</w:t>
      </w:r>
    </w:p>
    <w:p>
      <w:pPr>
        <w:pStyle w:val="ListBullet"/>
        <w:spacing w:after="60" w:line="252" w:lineRule="auto"/>
        <w:jc w:val="both"/>
      </w:pPr>
      <w:r>
        <w:t>Construir X_centered restando la media de cada columna.</w:t>
      </w:r>
    </w:p>
    <w:p>
      <w:pPr>
        <w:pStyle w:val="ListBullet"/>
        <w:spacing w:after="60" w:line="252" w:lineRule="auto"/>
        <w:jc w:val="both"/>
      </w:pPr>
      <w:r>
        <w:t>Construir Z con media cero y desviación estándar muestral uno por columna:</w:t>
      </w:r>
    </w:p>
    <w:p>
      <w:pPr>
        <w:spacing w:before="40" w:after="60"/>
        <w:jc w:val="center"/>
      </w:pPr>
      <m:oMathPara>
        <m:oMath>
          <m:sSub>
            <m:e>
              <m:r>
                <m:t xml:space="preserve">z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f>
            <m:num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ij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μ</m:t>
                  </m:r>
                </m:e>
                <m:sub>
                  <m:r>
                    <m:t xml:space="preserve">j</m:t>
                  </m:r>
                </m:sub>
              </m:sSub>
              <m:r>
                <m:t xml:space="preserve">)</m:t>
              </m:r>
            </m:num>
            <m:den>
              <m:sSub>
                <m:e>
                  <m:r>
                    <m:t xml:space="preserve">s</m:t>
                  </m:r>
                </m:e>
                <m:sub>
                  <m:r>
                    <m:t xml:space="preserve">j</m:t>
                  </m:r>
                </m:sub>
              </m:sSub>
            </m:den>
          </m:f>
        </m:oMath>
      </m:oMathPara>
    </w:p>
    <w:p>
      <w:pPr>
        <w:pStyle w:val="ListBullet"/>
        <w:spacing w:after="60" w:line="252" w:lineRule="auto"/>
        <w:jc w:val="both"/>
      </w:pPr>
      <w:r>
        <w:t>Verificar numéricamente las medias y desviaciones estándar de Z.</w:t>
      </w:r>
    </w:p>
    <w:p>
      <w:pPr>
        <w:pStyle w:val="Heading2"/>
        <w:keepNext/>
      </w:pPr>
      <w:r>
        <w:t>Tarea 3. Calcular PCA mediante SVD — 25 minutos</w:t>
      </w:r>
    </w:p>
    <w:p>
      <w:pPr>
        <w:spacing w:after="60" w:line="252" w:lineRule="auto"/>
        <w:jc w:val="both"/>
      </w:pPr>
      <w:r>
        <w:t>Implementar una función pca_svd(A) a partir de la descomposición:</w:t>
      </w:r>
    </w:p>
    <w:p>
      <w:pPr>
        <w:spacing w:before="40" w:after="60"/>
        <w:jc w:val="center"/>
      </w:pPr>
      <m:oMathPara>
        <m:oMath>
          <m:r>
            <m:t xml:space="preserve">A = UΣ</m:t>
          </m:r>
          <m:sSup>
            <m:e>
              <m:r>
                <m:t xml:space="preserve">V</m:t>
              </m:r>
            </m:e>
            <m:sup>
              <m:r>
                <m:t xml:space="preserve">T</m:t>
              </m:r>
            </m:sup>
          </m:sSup>
        </m:oMath>
      </m:oMathPara>
    </w:p>
    <w:p>
      <w:pPr>
        <w:pStyle w:val="ListBullet"/>
        <w:spacing w:after="60" w:line="252" w:lineRule="auto"/>
        <w:jc w:val="both"/>
      </w:pPr>
      <w:r>
        <w:t>Calcular puntuaciones como U multiplicado columna a columna por los valores singulares. Las filas de Vᵀ son las direcciones principales.</w:t>
      </w:r>
    </w:p>
    <w:p>
      <w:pPr>
        <w:pStyle w:val="ListBullet"/>
        <w:spacing w:after="60" w:line="252" w:lineRule="auto"/>
        <w:jc w:val="both"/>
      </w:pPr>
      <w:r>
        <w:t>Calcular la proporción de varianza explicada por cada componente:</w:t>
      </w:r>
    </w:p>
    <w:p>
      <w:pPr>
        <w:spacing w:before="40" w:after="60"/>
        <w:jc w:val="center"/>
      </w:pPr>
      <m:oMathPara>
        <m:oMath>
          <m:sSub>
            <m:e>
              <m:r>
                <m:t xml:space="preserve">r</m:t>
              </m:r>
            </m:e>
            <m:sub>
              <m:r>
                <m:t xml:space="preserve">i</m:t>
              </m:r>
            </m:sub>
          </m:sSub>
          <m:r>
            <m:t xml:space="preserve"> = </m:t>
          </m:r>
          <m:f>
            <m:num>
              <m:sSup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∑ </m:t>
              </m:r>
              <m:sSup>
                <m:e>
                  <m:sSub>
                    <m:e>
                      <m:r>
                        <m:t xml:space="preserve">σ</m:t>
                      </m:r>
                    </m:e>
                    <m:sub>
                      <m:r>
                        <m:t xml:space="preserve">j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den>
          </m:f>
        </m:oMath>
      </m:oMathPara>
    </w:p>
    <w:p>
      <w:pPr>
        <w:pStyle w:val="ListBullet"/>
        <w:spacing w:after="60" w:line="252" w:lineRule="auto"/>
        <w:jc w:val="both"/>
      </w:pPr>
      <w:r>
        <w:t>Aplicar la función a X_centered y a Z. No ordenar nuevamente los valores singulares: numpy.linalg.svd ya los devuelve de mayor a menor.</w:t>
      </w:r>
    </w:p>
    <w:p>
      <w:pPr>
        <w:pStyle w:val="Heading2"/>
        <w:keepNext/>
      </w:pPr>
      <w:r>
        <w:t>Tarea 4. Comparar varianza explicada y cargas — 15 minutos</w:t>
      </w:r>
    </w:p>
    <w:p>
      <w:pPr>
        <w:pStyle w:val="ListBullet"/>
        <w:spacing w:after="60" w:line="252" w:lineRule="auto"/>
        <w:jc w:val="both"/>
      </w:pPr>
      <w:r>
        <w:t>Crear una tabla con proporción y proporción acumulada para las cuatro componentes en ambos preprocesamientos.</w:t>
      </w:r>
    </w:p>
    <w:p>
      <w:pPr>
        <w:pStyle w:val="ListBullet"/>
        <w:spacing w:after="60" w:line="252" w:lineRule="auto"/>
        <w:jc w:val="both"/>
      </w:pPr>
      <w:r>
        <w:t>Comparar las cargas de PC1. Para identificar la variable dominante, usar magnitudes absolutas; una componente completa puede cambiar de signo sin alterar PCA.</w:t>
      </w:r>
    </w:p>
    <w:p>
      <w:pPr>
        <w:pStyle w:val="ListBullet"/>
        <w:spacing w:after="60" w:line="252" w:lineRule="auto"/>
        <w:jc w:val="both"/>
      </w:pPr>
      <w:r>
        <w:t>Calcular el menor número k90 de componentes estandarizadas que conserva al menos 90% de la varianza.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3. </w:t>
      </w:r>
      <w:r>
        <w:t>Confirmar o rechazar la predicción previa usando la proporción de PC1 y su carga dominante en el caso no estandarizado.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4. </w:t>
      </w:r>
      <w:r>
        <w:t>Interpretar PC1 estandarizada como combinación de rasgos; no limitarse a copiar las cargas.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5. </w:t>
      </w:r>
      <w:r>
        <w:t>Indicar si dos componentes alcanzan 90%, la proporción acumulada y k90.</w:t>
      </w:r>
    </w:p>
    <w:p>
      <w:pPr>
        <w:pStyle w:val="Heading2"/>
        <w:keepNext/>
      </w:pPr>
      <w:r>
        <w:t>Tarea 5. Visualizar las representaciones — 15 minutos</w:t>
      </w:r>
    </w:p>
    <w:p>
      <w:pPr>
        <w:pStyle w:val="ListBullet"/>
        <w:spacing w:after="60" w:line="252" w:lineRule="auto"/>
        <w:jc w:val="both"/>
      </w:pPr>
      <w:r>
        <w:t>Crear una figura con dos paneles PC1–PC2: datos solo centrados a la izquierda y estandarizados a la derecha.</w:t>
      </w:r>
    </w:p>
    <w:p>
      <w:pPr>
        <w:pStyle w:val="ListBullet"/>
        <w:spacing w:after="60" w:line="252" w:lineRule="auto"/>
        <w:jc w:val="both"/>
      </w:pPr>
      <w:r>
        <w:t>Colorear por especie e incluir título, leyenda, etiquetas y porcentaje de varianza explicado en cada eje.</w:t>
      </w:r>
    </w:p>
    <w:p>
      <w:pPr>
        <w:pStyle w:val="ListBullet"/>
        <w:spacing w:after="60" w:line="252" w:lineRule="auto"/>
        <w:jc w:val="both"/>
      </w:pPr>
      <w:r>
        <w:t>Guardar la figura como output/pca_penguins.png.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6. </w:t>
      </w:r>
      <w:r>
        <w:t>Comparar ambos paneles, describir al menos un patrón visible y aclarar si las especies quedan perfectamente separadas. PCA no debe presentarse como clasificador.</w:t>
      </w:r>
    </w:p>
    <w:p>
      <w:pPr>
        <w:pStyle w:val="Heading2"/>
        <w:keepNext/>
      </w:pPr>
      <w:r>
        <w:t>Tarea 6. Reconstruir y medir la pérdida — 10 minutos</w:t>
      </w:r>
    </w:p>
    <w:p>
      <w:pPr>
        <w:spacing w:after="60" w:line="252" w:lineRule="auto"/>
        <w:jc w:val="both"/>
      </w:pPr>
      <w:r>
        <w:t>Reconstruir los datos estandarizados con las dos primeras componentes:</w:t>
      </w:r>
    </w:p>
    <w:p>
      <w:pPr>
        <w:spacing w:before="40" w:after="60"/>
        <w:jc w:val="center"/>
      </w:pPr>
      <m:oMathPara>
        <m:oMath>
          <m:sSub>
            <m:e>
              <m:acc>
                <m:accPr>
                  <m:chr m:val="^"/>
                </m:accPr>
                <m:e>
                  <m:r>
                    <m:t xml:space="preserve">Z</m:t>
                  </m:r>
                </m:e>
              </m:acc>
            </m:e>
            <m:sub>
              <m:r>
                <m:t xml:space="preserve">2</m:t>
              </m:r>
            </m:sub>
          </m:sSub>
          <m:r>
            <m:t xml:space="preserve"> = </m:t>
          </m:r>
          <m:sSub>
            <m:e>
              <m:r>
                <m:t xml:space="preserve">T</m:t>
              </m:r>
            </m:e>
            <m:sub>
              <m:r>
                <m:t xml:space="preserve">2</m:t>
              </m:r>
            </m:sub>
          </m:sSub>
          <m:sSup>
            <m:e>
              <m:sSub>
                <m:e>
                  <m:r>
                    <m:t xml:space="preserve">V</m:t>
                  </m:r>
                </m:e>
                <m:sub>
                  <m:r>
                    <m:t xml:space="preserve">2</m:t>
                  </m:r>
                </m:sub>
              </m:sSub>
            </m:e>
            <m:sup>
              <m:r>
                <m:t xml:space="preserve">T</m:t>
              </m:r>
            </m:sup>
          </m:sSup>
        </m:oMath>
      </m:oMathPara>
    </w:p>
    <w:p>
      <w:pPr>
        <w:pStyle w:val="ListBullet"/>
        <w:spacing w:after="60" w:line="252" w:lineRule="auto"/>
        <w:jc w:val="both"/>
      </w:pPr>
      <w:r>
        <w:t>Invertir la estandarización para volver a milímetros y gramos.</w:t>
      </w:r>
    </w:p>
    <w:p>
      <w:pPr>
        <w:pStyle w:val="ListBullet"/>
        <w:spacing w:after="60" w:line="252" w:lineRule="auto"/>
        <w:jc w:val="both"/>
      </w:pPr>
      <w:r>
        <w:t>Calcular el error relativo de Frobenius en Z y el RMSE de cada variable en unidades originales.</w:t>
      </w:r>
    </w:p>
    <w:p>
      <w:pPr>
        <w:pStyle w:val="ListBullet"/>
        <w:spacing w:after="60" w:line="252" w:lineRule="auto"/>
        <w:jc w:val="both"/>
      </w:pPr>
      <w:r>
        <w:t>Verificar la identidad:</w:t>
      </w:r>
    </w:p>
    <w:p>
      <w:pPr>
        <w:spacing w:before="40" w:after="60"/>
        <w:jc w:val="center"/>
      </w:pPr>
      <m:oMathPara>
        <m:oMath>
          <m:f>
            <m:num>
              <m:r>
                <m:t xml:space="preserve">‖Z − </m:t>
              </m:r>
              <m:sSub>
                <m:e>
                  <m:acc>
                    <m:accPr>
                      <m:chr m:val="^"/>
                    </m:accPr>
                    <m:e>
                      <m:r>
                        <m:t xml:space="preserve">Z</m:t>
                      </m:r>
                    </m:e>
                  </m:acc>
                </m:e>
                <m:sub>
                  <m:r>
                    <m:t xml:space="preserve">2</m:t>
                  </m:r>
                </m:sub>
              </m:sSub>
              <m:sSub>
                <m:e>
                  <m:r>
                    <m:t xml:space="preserve">‖</m:t>
                  </m:r>
                </m:e>
                <m:sub>
                  <m:r>
                    <m:t xml:space="preserve">F</m:t>
                  </m:r>
                </m:sub>
              </m:sSub>
            </m:num>
            <m:den>
              <m:sSub>
                <m:e>
                  <m:r>
                    <m:t xml:space="preserve">‖Z‖</m:t>
                  </m:r>
                </m:e>
                <m:sub>
                  <m:r>
                    <m:t xml:space="preserve">F</m:t>
                  </m:r>
                </m:sub>
              </m:sSub>
            </m:den>
          </m:f>
          <m:r>
            <m:t xml:space="preserve"> = </m:t>
          </m:r>
          <m:rad>
            <m:radPr>
              <m:degHide m:val="1"/>
            </m:radPr>
            <m:deg/>
            <m:e>
              <m:r>
                <m:t xml:space="preserve">1 − (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)</m:t>
              </m:r>
            </m:e>
          </m:rad>
        </m:oMath>
      </m:oMathPara>
    </w:p>
    <w:p>
      <w:pPr>
        <w:pStyle w:val="Heading2"/>
        <w:keepNext/>
      </w:pPr>
      <w:r>
        <w:t>Tarea 7. Tomar una decisión y verificar — 5 minutos</w:t>
      </w:r>
    </w:p>
    <w:p>
      <w:pPr>
        <w:pStyle w:val="ListBullet"/>
        <w:spacing w:after="60" w:line="252" w:lineRule="auto"/>
        <w:jc w:val="both"/>
      </w:pPr>
      <w:r>
        <w:rPr>
          <w:b/>
        </w:rPr>
        <w:t xml:space="preserve">Respuesta 7. </w:t>
      </w:r>
      <w:r>
        <w:t>Recomendar preprocesamiento y número de componentes para dos propósitos distintos: comunicar en un gráfico 2D y conservar al menos 90% para análisis interno. Justificar con varianza, cargas, gráfico y reconstrucción.</w:t>
      </w:r>
    </w:p>
    <w:p>
      <w:pPr>
        <w:pStyle w:val="ListBullet"/>
        <w:spacing w:after="60" w:line="252" w:lineRule="auto"/>
        <w:jc w:val="both"/>
      </w:pPr>
      <w:r>
        <w:t>Reiniciar el kernel, ejecutar todo y guardar el notebook sin errores.</w:t>
      </w:r>
    </w:p>
    <w:p>
      <w:pPr>
        <w:pStyle w:val="Heading1"/>
        <w:keepNext/>
      </w:pPr>
      <w:r>
        <w:t>Verificación final y entrega</w:t>
      </w:r>
    </w:p>
    <w:p>
      <w:pPr>
        <w:spacing w:after="60" w:line="252" w:lineRule="auto"/>
        <w:jc w:val="both"/>
      </w:pPr>
      <w:r>
        <w:t>Desde la carpeta hackathon2_student, después de guardar el notebook, ejecutar: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E2A33"/>
          <w:left w:val="single" w:sz="6" w:space="0" w:color="0E2A33"/>
          <w:bottom w:val="single" w:sz="6" w:space="0" w:color="0E2A33"/>
          <w:right w:val="single" w:sz="6" w:space="0" w:color="0E2A33"/>
          <w:insideH w:val="single" w:sz="6" w:space="0" w:color="0E2A33"/>
          <w:insideV w:val="single" w:sz="6" w:space="0" w:color="0E2A33"/>
        </w:tblBorders>
      </w:tblPr>
      <w:tblGrid>
        <w:gridCol w:w="9936"/>
      </w:tblGrid>
      <w:tr>
        <w:tc>
          <w:tcPr>
            <w:tcW w:type="dxa" w:w="9936"/>
            <w:shd w:fill="0E2A33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FFFFFF"/>
                <w:sz w:val="19"/>
              </w:rPr>
              <w:t>uv run python verify_notebook.py</w:t>
            </w:r>
          </w:p>
        </w:tc>
      </w:tr>
    </w:tbl>
    <w:p>
      <w:pPr>
        <w:pStyle w:val="ListBullet"/>
        <w:spacing w:after="60" w:line="252" w:lineRule="auto"/>
        <w:jc w:val="both"/>
      </w:pPr>
      <w:r>
        <w:t>El mensaje final debe ser VERIFICACIÓN COMPLETA y la celda de comprobaciones públicas debe terminar sin errores.</w:t>
      </w:r>
    </w:p>
    <w:p>
      <w:pPr>
        <w:pStyle w:val="ListBullet"/>
        <w:spacing w:after="60" w:line="252" w:lineRule="auto"/>
        <w:jc w:val="both"/>
      </w:pPr>
      <w:r>
        <w:t>Entregar Hackathon_2_Starter.ipynb ejecutado, output/pca_penguins.png y los nombres de ambos integrantes al inicio del notebook.</w:t>
      </w:r>
    </w:p>
    <w:p>
      <w:pPr>
        <w:pStyle w:val="ListBullet"/>
        <w:spacing w:after="60" w:line="252" w:lineRule="auto"/>
        <w:jc w:val="both"/>
      </w:pPr>
      <w:r>
        <w:t>Ambos integrantes deben poder explicar la predicción, el efecto de estandarizar, el criterio de 90% y la decisión final.</w:t>
      </w:r>
    </w:p>
    <w:p>
      <w:pPr>
        <w:pStyle w:val="Heading1"/>
        <w:keepNext/>
      </w:pPr>
      <w:r>
        <w:t>Criterios de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8064"/>
            <w:shd w:fill="D9EAF7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Criterio</w:t>
            </w:r>
          </w:p>
        </w:tc>
        <w:tc>
          <w:tcPr>
            <w:tcW w:type="dxa" w:w="1872"/>
            <w:shd w:fill="D9EAF7"/>
            <w:tcMar>
              <w:top w:w="55" w:type="dxa"/>
              <w:start w:w="95" w:type="dxa"/>
              <w:bottom w:w="55" w:type="dxa"/>
              <w:end w:w="95" w:type="dxa"/>
            </w:tcMar>
          </w:tcPr>
          <w:p>
            <w:pPr>
              <w:spacing w:after="0"/>
            </w:pPr>
            <w:r>
              <w:rPr>
                <w:b/>
              </w:rPr>
              <w:t>Peso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Auditoría, predicción y tratamiento de faltantes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15%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Centrado, estandarización e invariantes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15%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PCA implementado correctamente con SVD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25%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Varianza explicada, cargas y criterio k90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15%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Visualización comparativa e interpretación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10%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Reconstrucción, errores y decisión final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15%</w:t>
            </w:r>
          </w:p>
        </w:tc>
      </w:tr>
      <w:tr>
        <w:tc>
          <w:tcPr>
            <w:tcW w:type="dxa" w:w="8064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Ejecución reproducible, claridad y explicación en pareja</w:t>
            </w:r>
          </w:p>
        </w:tc>
        <w:tc>
          <w:tcPr>
            <w:tcW w:type="dxa" w:w="1872"/>
            <w:tcMar>
              <w:top w:w="45" w:type="dxa"/>
              <w:start w:w="95" w:type="dxa"/>
              <w:bottom w:w="45" w:type="dxa"/>
              <w:end w:w="95" w:type="dxa"/>
            </w:tcMar>
          </w:tcPr>
          <w:p>
            <w:pPr>
              <w:spacing w:after="0" w:line="240" w:lineRule="auto"/>
            </w:pPr>
            <w:r>
              <w:t>5%</w:t>
            </w:r>
          </w:p>
        </w:tc>
      </w:tr>
    </w:tbl>
    <w:sectPr w:rsidR="00617B50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370536">
    <w:abstractNumId w:val="8"/>
  </w:num>
  <w:num w:numId="2" w16cid:durableId="1096555875">
    <w:abstractNumId w:val="6"/>
  </w:num>
  <w:num w:numId="3" w16cid:durableId="1978681322">
    <w:abstractNumId w:val="5"/>
  </w:num>
  <w:num w:numId="4" w16cid:durableId="593705286">
    <w:abstractNumId w:val="4"/>
  </w:num>
  <w:num w:numId="5" w16cid:durableId="1102842186">
    <w:abstractNumId w:val="7"/>
  </w:num>
  <w:num w:numId="6" w16cid:durableId="423191319">
    <w:abstractNumId w:val="3"/>
  </w:num>
  <w:num w:numId="7" w16cid:durableId="1126193279">
    <w:abstractNumId w:val="2"/>
  </w:num>
  <w:num w:numId="8" w16cid:durableId="1343431180">
    <w:abstractNumId w:val="1"/>
  </w:num>
  <w:num w:numId="9" w16cid:durableId="2811095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BD"/>
    <w:rsid w:val="0006063C"/>
    <w:rsid w:val="000F2F86"/>
    <w:rsid w:val="00112752"/>
    <w:rsid w:val="00134C22"/>
    <w:rsid w:val="0015074B"/>
    <w:rsid w:val="0029639D"/>
    <w:rsid w:val="002B4A3E"/>
    <w:rsid w:val="00326F90"/>
    <w:rsid w:val="00403728"/>
    <w:rsid w:val="005E61CD"/>
    <w:rsid w:val="00617B50"/>
    <w:rsid w:val="00632E8A"/>
    <w:rsid w:val="00667093"/>
    <w:rsid w:val="007E5095"/>
    <w:rsid w:val="007F7C56"/>
    <w:rsid w:val="009746B7"/>
    <w:rsid w:val="00A03AFD"/>
    <w:rsid w:val="00A44336"/>
    <w:rsid w:val="00AA1D8D"/>
    <w:rsid w:val="00B47730"/>
    <w:rsid w:val="00CB0664"/>
    <w:rsid w:val="00E20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5D67C0"/>
  <w14:defaultImageDpi w14:val="300"/>
  <w15:docId w15:val="{D9DDBA64-404E-2541-8745-77DE237A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Hackathon 2 - PCA con Palmer Penguins</dc:title>
  <dc:subject>Actividad práctica de Matemáticas y Programación para IA</dc:subject>
  <dc:creator>python-docx</dc:creator>
  <cp:keywords/>
  <dc:description>generated by python-docx</dc:description>
  <cp:lastModifiedBy>Ricardo Flores Moyano</cp:lastModifiedBy>
  <cp:revision>9</cp:revision>
  <dcterms:created xsi:type="dcterms:W3CDTF">2013-12-23T23:15:00Z</dcterms:created>
  <dcterms:modified xsi:type="dcterms:W3CDTF">2026-08-22T05:02:00Z</dcterms:modified>
  <cp:category/>
</cp:coreProperties>
</file>