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Hackathon 3</w:t>
      </w:r>
    </w:p>
    <w:p>
      <w:pPr>
        <w:pStyle w:val="Subtitle"/>
      </w:pPr>
      <w:r>
        <w:rPr>
          <w:b/>
          <w:sz w:val="36"/>
        </w:rPr>
        <w:t>Una neurona aprende AND</w:t>
      </w:r>
    </w:p>
    <w:p>
      <w:r>
        <w:t>Matemáticas y Programación para IA</w:t>
        <w:br/>
        <w:t>Trabajo guiado en parejas durante 90 minutos orientativos</w:t>
      </w:r>
    </w:p>
    <w:p>
      <w:r>
        <w:t>Completarán e interpretarán el entrenamiento de una neurona que responde 1 solo cuando sus dos entradas son 1. El documento principal es Hackathon_3_Starter.ipynb: contiene las explicaciones, el ejemplo resuelto, los espacios de trabajo y las comprobaciones.</w:t>
      </w:r>
    </w:p>
    <w:p>
      <w:pPr>
        <w:pStyle w:val="Heading1"/>
      </w:pPr>
      <w:r>
        <w:t>Objetivo y apoyos proporcionados</w:t>
      </w:r>
    </w:p>
    <w:p>
      <w:r>
        <w:t>El objetivo es distinguir predicción, pérdida, gradientes y actualización de parámetros, y usar resultados concretos para explicar el entrenamiento. El motor de autodiferenciación, la sigmoide, la pérdida, las tablas y las gráficas están implementados. No deben derivar estas funciones ni construir el motor.</w:t>
      </w:r>
    </w:p>
    <w:p>
      <w:pPr>
        <w:pStyle w:val="Heading1"/>
      </w:pPr>
      <w:r>
        <w:t>Forma de trabajo</w:t>
      </w:r>
    </w:p>
    <w:p>
      <w:pPr>
        <w:pStyle w:val="ListBullet"/>
      </w:pPr>
      <w:r>
        <w:t>Lean cada etapa, escriban la predicción, completen el código indicado y después ejecuten. Conserven su predicción inicial y contrástenla con el resultado.</w:t>
      </w:r>
    </w:p>
    <w:p>
      <w:pPr>
        <w:pStyle w:val="ListBullet"/>
      </w:pPr>
      <w:r>
        <w:t>Modifiquen solo nombres, respuestas y las funciones predecir, actualizar y paso_entrenamiento. No eliminen ni reordenen celdas ni cambien los archivos de apoyo.</w:t>
      </w:r>
    </w:p>
    <w:p>
      <w:pPr>
        <w:pStyle w:val="ListBullet"/>
      </w:pPr>
      <w:r>
        <w:t>Intercambien roles antes de la etapa 4. Ambos integrantes deben escribir su explicación individual final. Las ayudas desplegables están permitidas.</w:t>
      </w:r>
    </w:p>
    <w:p>
      <w:pPr>
        <w:pStyle w:val="Heading1"/>
      </w:pPr>
      <w:r>
        <w:t>Recorrido del notebook</w:t>
      </w:r>
    </w:p>
    <w:tbl>
      <w:tblPr>
        <w:tblW w:type="dxa" w:w="9936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00"/>
        <w:gridCol w:w="7800"/>
        <w:gridCol w:w="1236"/>
      </w:tblGrid>
      <w:tr>
        <w:trPr>
          <w:cantSplit/>
          <w:tblHeader/>
        </w:trPr>
        <w:tc>
          <w:tcPr>
            <w:tcW w:type="dxa" w:w="9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Etapa</w:t>
            </w:r>
          </w:p>
        </w:tc>
        <w:tc>
          <w:tcPr>
            <w:tcW w:type="dxa" w:w="7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Actividad</w:t>
            </w:r>
          </w:p>
        </w:tc>
        <w:tc>
          <w:tcPr>
            <w:tcW w:type="dxa" w:w="12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Minutos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4F8"/>
          </w:tcPr>
          <w:p>
            <w:pPr>
              <w:spacing w:after="0" w:before="0"/>
            </w:pPr>
            <w:r>
              <w:rPr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7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4F8"/>
          </w:tcPr>
          <w:p>
            <w:pPr>
              <w:spacing w:after="0" w:before="0"/>
            </w:pPr>
            <w:r>
              <w:rPr>
                <w:b w:val="0"/>
                <w:color w:val="000000"/>
                <w:sz w:val="21"/>
              </w:rPr>
              <w:t>Entender AND y reconocer entradas y parámetros</w:t>
            </w:r>
          </w:p>
        </w:tc>
        <w:tc>
          <w:tcPr>
            <w:tcW w:type="dxa" w:w="12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4F8"/>
          </w:tcPr>
          <w:p>
            <w:pPr>
              <w:spacing w:after="0" w:before="0"/>
            </w:pPr>
            <w:r>
              <w:rPr>
                <w:b w:val="0"/>
                <w:color w:val="000000"/>
                <w:sz w:val="21"/>
              </w:rPr>
              <w:t>8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7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000000"/>
                <w:sz w:val="21"/>
              </w:rPr>
              <w:t>Seguir un ejemplo completamente resuelto</w:t>
            </w:r>
          </w:p>
        </w:tc>
        <w:tc>
          <w:tcPr>
            <w:tcW w:type="dxa" w:w="12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000000"/>
                <w:sz w:val="21"/>
              </w:rPr>
              <w:t>15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4F8"/>
          </w:tcPr>
          <w:p>
            <w:pPr>
              <w:spacing w:after="0" w:before="0"/>
            </w:pPr>
            <w:r>
              <w:rPr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7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4F8"/>
          </w:tcPr>
          <w:p>
            <w:pPr>
              <w:spacing w:after="0" w:before="0"/>
            </w:pPr>
            <w:r>
              <w:rPr>
                <w:b w:val="0"/>
                <w:color w:val="000000"/>
                <w:sz w:val="21"/>
              </w:rPr>
              <w:t>Completar el forward y leer los gradientes</w:t>
            </w:r>
          </w:p>
        </w:tc>
        <w:tc>
          <w:tcPr>
            <w:tcW w:type="dxa" w:w="12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4F8"/>
          </w:tcPr>
          <w:p>
            <w:pPr>
              <w:spacing w:after="0" w:before="0"/>
            </w:pPr>
            <w:r>
              <w:rPr>
                <w:b w:val="0"/>
                <w:color w:val="000000"/>
                <w:sz w:val="21"/>
              </w:rPr>
              <w:t>12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7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000000"/>
                <w:sz w:val="21"/>
              </w:rPr>
              <w:t>Completar y explicar una actualización</w:t>
            </w:r>
          </w:p>
        </w:tc>
        <w:tc>
          <w:tcPr>
            <w:tcW w:type="dxa" w:w="12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000000"/>
                <w:sz w:val="21"/>
              </w:rPr>
              <w:t>15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4F8"/>
          </w:tcPr>
          <w:p>
            <w:pPr>
              <w:spacing w:after="0" w:before="0"/>
            </w:pPr>
            <w:r>
              <w:rPr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7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4F8"/>
          </w:tcPr>
          <w:p>
            <w:pPr>
              <w:spacing w:after="0" w:before="0"/>
            </w:pPr>
            <w:r>
              <w:rPr>
                <w:b w:val="0"/>
                <w:color w:val="000000"/>
                <w:sz w:val="21"/>
              </w:rPr>
              <w:t>Integrar el ciclo y entrenar sobre los cuatro casos</w:t>
            </w:r>
          </w:p>
        </w:tc>
        <w:tc>
          <w:tcPr>
            <w:tcW w:type="dxa" w:w="12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4F8"/>
          </w:tcPr>
          <w:p>
            <w:pPr>
              <w:spacing w:after="0" w:before="0"/>
            </w:pPr>
            <w:r>
              <w:rPr>
                <w:b w:val="0"/>
                <w:color w:val="000000"/>
                <w:sz w:val="21"/>
              </w:rPr>
              <w:t>20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7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000000"/>
                <w:sz w:val="21"/>
              </w:rPr>
              <w:t>Interpretar resultados y responder individualmente</w:t>
            </w:r>
          </w:p>
        </w:tc>
        <w:tc>
          <w:tcPr>
            <w:tcW w:type="dxa" w:w="12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000000"/>
                <w:sz w:val="21"/>
              </w:rPr>
              <w:t>15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4F8"/>
          </w:tcPr>
          <w:p>
            <w:pPr>
              <w:spacing w:after="0" w:before="0"/>
            </w:pPr>
            <w:r>
              <w:rPr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78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4F8"/>
          </w:tcPr>
          <w:p>
            <w:pPr>
              <w:spacing w:after="0" w:before="0"/>
            </w:pPr>
            <w:r>
              <w:rPr>
                <w:b w:val="0"/>
                <w:color w:val="000000"/>
                <w:sz w:val="21"/>
              </w:rPr>
              <w:t>Verificar y entregar</w:t>
            </w:r>
          </w:p>
        </w:tc>
        <w:tc>
          <w:tcPr>
            <w:tcW w:type="dxa" w:w="12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4F8"/>
          </w:tcPr>
          <w:p>
            <w:pPr>
              <w:spacing w:after="0" w:before="0"/>
            </w:pPr>
            <w:r>
              <w:rPr>
                <w:b w:val="0"/>
                <w:color w:val="000000"/>
                <w:sz w:val="21"/>
              </w:rPr>
              <w:t>5</w:t>
            </w:r>
          </w:p>
        </w:tc>
      </w:tr>
    </w:tbl>
    <w:p>
      <w:pPr>
        <w:spacing w:after="0"/>
      </w:pPr>
    </w:p>
    <w:p>
      <w:r>
        <w:t>Los mensajes PENDIENTE son normales en el starter: indican que falta completar una tarea. No existe una solución sustituta que se entrene automáticamente.</w:t>
      </w:r>
    </w:p>
    <w:p>
      <w:r>
        <w:br w:type="page"/>
      </w:r>
    </w:p>
    <w:p>
      <w:pPr>
        <w:pStyle w:val="Heading1"/>
      </w:pPr>
      <w:r>
        <w:t>Preparación antes de la clase</w:t>
      </w:r>
    </w:p>
    <w:p>
      <w:r>
        <w:t>Descompriman el paquete completo y abran una terminal en hackathon3_student. Ejecuten estos comandos antes de la clase:</w:t>
      </w:r>
    </w:p>
    <w:p>
      <w:r>
        <w:rPr>
          <w:rFonts w:ascii="Courier New" w:hAnsi="Courier New"/>
        </w:rPr>
        <w:t>uv sync --locked</w:t>
        <w:br/>
        <w:t>uv run jupyter lab</w:t>
      </w:r>
    </w:p>
    <w:p>
      <w:r>
        <w:t>La instalación inicial puede requerir Internet. La actividad usa datos locales, un motor escalar y CPU; no requiere PyTorch ni GPU. Abran el notebook desde este entorno.</w:t>
      </w:r>
    </w:p>
    <w:p>
      <w:pPr>
        <w:pStyle w:val="Heading1"/>
      </w:pPr>
      <w:r>
        <w:t>Evidencias y entrega</w:t>
      </w:r>
    </w:p>
    <w:p>
      <w:pPr>
        <w:pStyle w:val="ListNumber"/>
      </w:pPr>
      <w:r>
        <w:t>Completen los nombres, las tres funciones, R1 a R8 y las explicaciones individuales. Citen números de las tablas al justificar sus respuestas.</w:t>
      </w:r>
    </w:p>
    <w:p>
      <w:pPr>
        <w:pStyle w:val="ListNumber"/>
      </w:pPr>
      <w:r>
        <w:t>Reinicien el kernel, ejecuten todas las celdas y guarden el notebook. Desde la carpeta del paquete ejecuten uv run python verify_notebook.py.</w:t>
      </w:r>
    </w:p>
    <w:p>
      <w:pPr>
        <w:pStyle w:val="ListNumber"/>
      </w:pPr>
      <w:r>
        <w:t>Una comprobación satisfactoria termina con VERIFICACIÓN TÉCNICA COMPLETA. Se genera una copia ejecutada en output/verificacion; el original no se sobrescribe.</w:t>
      </w:r>
    </w:p>
    <w:p>
      <w:pPr>
        <w:pStyle w:val="ListNumber"/>
      </w:pPr>
      <w:r>
        <w:t>Entreguen un ZIP con Hackathon_3_Starter.ipynb guardado y output/. No incluyan .venv, cachés ni materiales docentes. Conserven la evidencia parcial si no terminan.</w:t>
      </w:r>
    </w:p>
    <w:p>
      <w:r>
        <w:t>El verificador revisa estructura, presencia de respuestas y resultados numéricos. La calidad de las explicaciones y la realización de las predicciones antes de ejecutar requieren revisión docente.</w:t>
      </w:r>
    </w:p>
    <w:p>
      <w:pPr>
        <w:pStyle w:val="Heading1"/>
      </w:pPr>
      <w:r>
        <w:t>Criterios de evaluación</w:t>
      </w:r>
    </w:p>
    <w:tbl>
      <w:tblPr>
        <w:tblW w:type="dxa" w:w="9936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0"/>
        <w:gridCol w:w="1436"/>
      </w:tblGrid>
      <w:tr>
        <w:trPr>
          <w:cantSplit/>
          <w:tblHeader/>
        </w:trPr>
        <w:tc>
          <w:tcPr>
            <w:tcW w:type="dxa" w:w="85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Criterio</w:t>
            </w:r>
          </w:p>
        </w:tc>
        <w:tc>
          <w:tcPr>
            <w:tcW w:type="dxa" w:w="14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Peso</w:t>
            </w:r>
          </w:p>
        </w:tc>
      </w:tr>
      <w:tr>
        <w:trPr>
          <w:cantSplit/>
        </w:trPr>
        <w:tc>
          <w:tcPr>
            <w:tcW w:type="dxa" w:w="85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4F8"/>
          </w:tcPr>
          <w:p>
            <w:pPr>
              <w:spacing w:after="0" w:before="0"/>
            </w:pPr>
            <w:r>
              <w:rPr>
                <w:b w:val="0"/>
                <w:color w:val="000000"/>
                <w:sz w:val="21"/>
              </w:rPr>
              <w:t>Reconocer el problema y completar el forward</w:t>
            </w:r>
          </w:p>
        </w:tc>
        <w:tc>
          <w:tcPr>
            <w:tcW w:type="dxa" w:w="14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4F8"/>
          </w:tcPr>
          <w:p>
            <w:pPr>
              <w:spacing w:after="0" w:before="0"/>
            </w:pPr>
            <w:r>
              <w:rPr>
                <w:b w:val="0"/>
                <w:color w:val="000000"/>
                <w:sz w:val="21"/>
              </w:rPr>
              <w:t>15%</w:t>
            </w:r>
          </w:p>
        </w:tc>
      </w:tr>
      <w:tr>
        <w:trPr>
          <w:cantSplit/>
        </w:trPr>
        <w:tc>
          <w:tcPr>
            <w:tcW w:type="dxa" w:w="85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000000"/>
                <w:sz w:val="21"/>
              </w:rPr>
              <w:t>Predicciones razonadas antes de ejecutar</w:t>
            </w:r>
          </w:p>
        </w:tc>
        <w:tc>
          <w:tcPr>
            <w:tcW w:type="dxa" w:w="14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000000"/>
                <w:sz w:val="21"/>
              </w:rPr>
              <w:t>20%</w:t>
            </w:r>
          </w:p>
        </w:tc>
      </w:tr>
      <w:tr>
        <w:trPr>
          <w:cantSplit/>
        </w:trPr>
        <w:tc>
          <w:tcPr>
            <w:tcW w:type="dxa" w:w="85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4F8"/>
          </w:tcPr>
          <w:p>
            <w:pPr>
              <w:spacing w:after="0" w:before="0"/>
            </w:pPr>
            <w:r>
              <w:rPr>
                <w:b w:val="0"/>
                <w:color w:val="000000"/>
                <w:sz w:val="21"/>
              </w:rPr>
              <w:t>Interpretar gradientes y completar la actualización</w:t>
            </w:r>
          </w:p>
        </w:tc>
        <w:tc>
          <w:tcPr>
            <w:tcW w:type="dxa" w:w="14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4F8"/>
          </w:tcPr>
          <w:p>
            <w:pPr>
              <w:spacing w:after="0" w:before="0"/>
            </w:pPr>
            <w:r>
              <w:rPr>
                <w:b w:val="0"/>
                <w:color w:val="000000"/>
                <w:sz w:val="21"/>
              </w:rPr>
              <w:t>20%</w:t>
            </w:r>
          </w:p>
        </w:tc>
      </w:tr>
      <w:tr>
        <w:trPr>
          <w:cantSplit/>
        </w:trPr>
        <w:tc>
          <w:tcPr>
            <w:tcW w:type="dxa" w:w="85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000000"/>
                <w:sz w:val="21"/>
              </w:rPr>
              <w:t>Completar el ciclo y leer su registro</w:t>
            </w:r>
          </w:p>
        </w:tc>
        <w:tc>
          <w:tcPr>
            <w:tcW w:type="dxa" w:w="14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000000"/>
                <w:sz w:val="21"/>
              </w:rPr>
              <w:t>20%</w:t>
            </w:r>
          </w:p>
        </w:tc>
      </w:tr>
      <w:tr>
        <w:trPr>
          <w:cantSplit/>
        </w:trPr>
        <w:tc>
          <w:tcPr>
            <w:tcW w:type="dxa" w:w="85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4F8"/>
          </w:tcPr>
          <w:p>
            <w:pPr>
              <w:spacing w:after="0" w:before="0"/>
            </w:pPr>
            <w:r>
              <w:rPr>
                <w:b w:val="0"/>
                <w:color w:val="000000"/>
                <w:sz w:val="21"/>
              </w:rPr>
              <w:t>Explicar la tabla final y sus límites</w:t>
            </w:r>
          </w:p>
        </w:tc>
        <w:tc>
          <w:tcPr>
            <w:tcW w:type="dxa" w:w="14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0F4F8"/>
          </w:tcPr>
          <w:p>
            <w:pPr>
              <w:spacing w:after="0" w:before="0"/>
            </w:pPr>
            <w:r>
              <w:rPr>
                <w:b w:val="0"/>
                <w:color w:val="000000"/>
                <w:sz w:val="21"/>
              </w:rPr>
              <w:t>15%</w:t>
            </w:r>
          </w:p>
        </w:tc>
      </w:tr>
      <w:tr>
        <w:trPr>
          <w:cantSplit/>
        </w:trPr>
        <w:tc>
          <w:tcPr>
            <w:tcW w:type="dxa" w:w="85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000000"/>
                <w:sz w:val="21"/>
              </w:rPr>
              <w:t>Reproducibilidad y explicación individual</w:t>
            </w:r>
          </w:p>
        </w:tc>
        <w:tc>
          <w:tcPr>
            <w:tcW w:type="dxa" w:w="14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000000"/>
                <w:sz w:val="21"/>
              </w:rPr>
              <w:t>10%</w:t>
            </w:r>
          </w:p>
        </w:tc>
      </w:tr>
    </w:tbl>
    <w:p>
      <w:pPr>
        <w:spacing w:after="0"/>
      </w:pPr>
    </w:p>
    <w:p>
      <w:r>
        <w:t>Una predicción razonada que luego corrigen con evidencia puede recibir crédito completo. Ejecutar sin explicar no demuestra comprensión. El resultado esperado son las cuatro clases AND correctas y una pérdida menor que la inicial; no se exige pérdida cero ni pesos específicos.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9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Hackathon 3 Una neurona aprende AND</dc:title>
  <dc:subject>Actividad guiada de interpretación del entrenamiento</dc:subject>
  <dc:creator>Matemáticas y Programación para 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