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t xml:space="preserve">FA-QEM Detail Levels: How Low, Medium, High and Ultra Work</w:t>
      </w:r>
    </w:p>
    <w:p>
      <w:pPr>
        <w:spacing w:after="200"/>
      </w:pPr>
      <w:r>
        <w:rPr>
          <w:color w:val="666666"/>
        </w:rPr>
        <w:t xml:space="preserve">1 October 2026 · Jaswanth Andhavarapu</w:t>
      </w:r>
    </w:p>
    <w:p>
      <w:pPr>
        <w:spacing w:after="120" w:line="276"/>
      </w:pPr>
      <w:r>
        <w:t xml:space="preserve">Normal FA-QEM asks for a face count and gives no promise on quality. The detail levels flip that: you pick the maximum allowed shape error, and the tool finds the fewest faces that stay within it.</w:t>
      </w:r>
    </w:p>
    <w:p>
      <w:pPr>
        <w:pStyle w:val="Heading2"/>
        <w:spacing w:after="120" w:before="280"/>
      </w:pPr>
      <w:r>
        <w:t xml:space="preserve">Normal FA-QEM vs the detail levels</w:t>
      </w:r>
    </w:p>
    <w:p>
      <w:pPr>
        <w:spacing w:after="120" w:line="276"/>
      </w:pPr>
      <w:r>
        <w:t xml:space="preserve">The core algorithm is the same: edges are collapsed cheapest-first, using the paper's feature-aware cost (base surface, boundaries, normals, area). What changes is when it stops and which collapses it allows.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610"/>
        <w:gridCol w:w="3611"/>
      </w:tblGrid>
      <w:tr>
        <w:trPr>
          <w:tblHeader/>
        </w:trPr>
        <w:tc>
          <w:tcPr>
            <w:tcW w:type="dxa" w:w="1805"/>
            <w:tcBorders>
              <w:top w:val="single" w:color="BFBFBF" w:sz="4"/>
              <w:left w:val="single" w:color="BFBFBF" w:sz="4"/>
              <w:bottom w:val="single" w:color="BFBFBF" w:sz="4"/>
              <w:right w:val="single" w:color="BFBFBF" w:sz="4"/>
            </w:tcBorders>
            <w:shd w:fill="E8EEF6" w:color="auto" w:val="clear"/>
            <w:tcMar>
              <w:top w:type="dxa" w:w="60"/>
              <w:left w:type="dxa" w:w="100"/>
              <w:bottom w:type="dxa" w:w="60"/>
              <w:right w:type="dxa" w:w="100"/>
            </w:tcMar>
          </w:tcPr>
          <w:p>
            <w:r>
              <w:rPr>
                <w:b/>
                <w:bCs/>
                <w:sz w:val="20"/>
                <w:szCs w:val="20"/>
              </w:rPr>
              <w:t xml:space="preserve"/>
            </w:r>
          </w:p>
        </w:tc>
        <w:tc>
          <w:tcPr>
            <w:tcW w:type="dxa" w:w="3610"/>
            <w:tcBorders>
              <w:top w:val="single" w:color="BFBFBF" w:sz="4"/>
              <w:left w:val="single" w:color="BFBFBF" w:sz="4"/>
              <w:bottom w:val="single" w:color="BFBFBF" w:sz="4"/>
              <w:right w:val="single" w:color="BFBFBF" w:sz="4"/>
            </w:tcBorders>
            <w:shd w:fill="E8EEF6" w:color="auto" w:val="clear"/>
            <w:tcMar>
              <w:top w:type="dxa" w:w="60"/>
              <w:left w:type="dxa" w:w="100"/>
              <w:bottom w:type="dxa" w:w="60"/>
              <w:right w:type="dxa" w:w="100"/>
            </w:tcMar>
          </w:tcPr>
          <w:p>
            <w:r>
              <w:rPr>
                <w:b/>
                <w:bCs/>
                <w:sz w:val="20"/>
                <w:szCs w:val="20"/>
              </w:rPr>
              <w:t xml:space="preserve">Normal FA-QEM (Percentage / Face count, "Fast")</w:t>
            </w:r>
          </w:p>
        </w:tc>
        <w:tc>
          <w:tcPr>
            <w:tcW w:type="dxa" w:w="3611"/>
            <w:tcBorders>
              <w:top w:val="single" w:color="BFBFBF" w:sz="4"/>
              <w:left w:val="single" w:color="BFBFBF" w:sz="4"/>
              <w:bottom w:val="single" w:color="BFBFBF" w:sz="4"/>
              <w:right w:val="single" w:color="BFBFBF" w:sz="4"/>
            </w:tcBorders>
            <w:shd w:fill="E8EEF6" w:color="auto" w:val="clear"/>
            <w:tcMar>
              <w:top w:type="dxa" w:w="60"/>
              <w:left w:type="dxa" w:w="100"/>
              <w:bottom w:type="dxa" w:w="60"/>
              <w:right w:type="dxa" w:w="100"/>
            </w:tcMar>
          </w:tcPr>
          <w:p>
            <w:r>
              <w:rPr>
                <w:b/>
                <w:bCs/>
                <w:sz w:val="20"/>
                <w:szCs w:val="20"/>
              </w:rPr>
              <w:t xml:space="preserve">Detail levels (Low / Medium / High / Ultra)</w:t>
            </w:r>
          </w:p>
        </w:tc>
      </w:tr>
      <w:tr>
        <w:trPr>
          <w:tblHeader w:val="off"/>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User sets</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face count or % to keep</w:t>
            </w:r>
          </w:p>
        </w:tc>
        <w:tc>
          <w:tcPr>
            <w:tcW w:type="dxa" w:w="36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maximum allowed deviation</w:t>
            </w:r>
          </w:p>
        </w:tc>
      </w:tr>
      <w:tr>
        <w:trPr>
          <w:tblHeader w:val="off"/>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Stops when</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face count is reached</w:t>
            </w:r>
          </w:p>
        </w:tc>
        <w:tc>
          <w:tcPr>
            <w:tcW w:type="dxa" w:w="36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 collapse is left that stays within the limit</w:t>
            </w:r>
          </w:p>
        </w:tc>
      </w:tr>
      <w:tr>
        <w:trPr>
          <w:tblHeader w:val="off"/>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Quality guarantee</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None. Error is measured afterwards and can pile up in a few spots</w:t>
            </w:r>
          </w:p>
        </w:tc>
        <w:tc>
          <w:tcPr>
            <w:tcW w:type="dxa" w:w="36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Worst-case (Hausdorff) deviation is kept within the limit</w:t>
            </w:r>
          </w:p>
        </w:tc>
      </w:tr>
      <w:tr>
        <w:trPr>
          <w:tblHeader w:val="off"/>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Collapse check</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Normal-flip and topology checks only</w:t>
            </w:r>
          </w:p>
        </w:tc>
        <w:tc>
          <w:tcPr>
            <w:tcW w:type="dxa" w:w="36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Same, plus a local error check on every collapse</w:t>
            </w:r>
          </w:p>
        </w:tc>
      </w:tr>
      <w:tr>
        <w:trPr>
          <w:tblHeader w:val="off"/>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Face count</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Fixed by the user</w:t>
            </w:r>
          </w:p>
        </w:tc>
        <w:tc>
          <w:tcPr>
            <w:tcW w:type="dxa" w:w="36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Chosen per model: simple shapes get few faces, detailed ones keep more</w:t>
            </w:r>
          </w:p>
        </w:tc>
      </w:tr>
      <w:tr>
        <w:trPr>
          <w:tblHeader w:val="off"/>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Topology changes</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Allowed at 10x cost, to reach the target</w:t>
            </w:r>
          </w:p>
        </w:tc>
        <w:tc>
          <w:tcPr>
            <w:tcW w:type="dxa" w:w="36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Never, so small parts cannot vanish</w:t>
            </w:r>
          </w:p>
        </w:tc>
      </w:tr>
      <w:tr>
        <w:trPr>
          <w:tblHeader w:val="off"/>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Passes</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c>
          <w:tcPr>
            <w:tcW w:type="dxa" w:w="36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1–4 (searching for the best tolerance)</w:t>
            </w:r>
          </w:p>
        </w:tc>
      </w:tr>
      <w:tr>
        <w:trPr>
          <w:tblHeader w:val="off"/>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Time</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About 1–3 s</w:t>
            </w:r>
          </w:p>
        </w:tc>
        <w:tc>
          <w:tcPr>
            <w:tcW w:type="dxa" w:w="36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1–100 s</w:t>
            </w:r>
          </w:p>
        </w:tc>
      </w:tr>
    </w:tbl>
    <w:p>
      <w:pPr>
        <w:pStyle w:val="Heading2"/>
        <w:spacing w:after="120" w:before="280"/>
      </w:pPr>
      <w:r>
        <w:t xml:space="preserve">The four levels</w:t>
      </w:r>
    </w:p>
    <w:p>
      <w:pPr>
        <w:spacing w:after="120" w:line="276"/>
      </w:pPr>
      <w:r>
        <w:t xml:space="preserve">Each level is just a different error limit. The limit is a percentage of the model's bounding-box diagonal, so it means the same on a small CAD part and a large scan. Everything else in the logic is identical across the four.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4062"/>
        <w:gridCol w:w="2707"/>
      </w:tblGrid>
      <w:tr>
        <w:trPr>
          <w:tblHeader/>
        </w:trPr>
        <w:tc>
          <w:tcPr>
            <w:tcW w:type="dxa" w:w="2257"/>
            <w:tcBorders>
              <w:top w:val="single" w:color="BFBFBF" w:sz="4"/>
              <w:left w:val="single" w:color="BFBFBF" w:sz="4"/>
              <w:bottom w:val="single" w:color="BFBFBF" w:sz="4"/>
              <w:right w:val="single" w:color="BFBFBF" w:sz="4"/>
            </w:tcBorders>
            <w:shd w:fill="E8EEF6" w:color="auto" w:val="clear"/>
            <w:tcMar>
              <w:top w:type="dxa" w:w="60"/>
              <w:left w:type="dxa" w:w="100"/>
              <w:bottom w:type="dxa" w:w="60"/>
              <w:right w:type="dxa" w:w="100"/>
            </w:tcMar>
          </w:tcPr>
          <w:p>
            <w:r>
              <w:rPr>
                <w:b/>
                <w:bCs/>
                <w:sz w:val="20"/>
                <w:szCs w:val="20"/>
              </w:rPr>
              <w:t xml:space="preserve">Level</w:t>
            </w:r>
          </w:p>
        </w:tc>
        <w:tc>
          <w:tcPr>
            <w:tcW w:type="dxa" w:w="4062"/>
            <w:tcBorders>
              <w:top w:val="single" w:color="BFBFBF" w:sz="4"/>
              <w:left w:val="single" w:color="BFBFBF" w:sz="4"/>
              <w:bottom w:val="single" w:color="BFBFBF" w:sz="4"/>
              <w:right w:val="single" w:color="BFBFBF" w:sz="4"/>
            </w:tcBorders>
            <w:shd w:fill="E8EEF6" w:color="auto" w:val="clear"/>
            <w:tcMar>
              <w:top w:type="dxa" w:w="60"/>
              <w:left w:type="dxa" w:w="100"/>
              <w:bottom w:type="dxa" w:w="60"/>
              <w:right w:type="dxa" w:w="100"/>
            </w:tcMar>
          </w:tcPr>
          <w:p>
            <w:r>
              <w:rPr>
                <w:b/>
                <w:bCs/>
                <w:sz w:val="20"/>
                <w:szCs w:val="20"/>
              </w:rPr>
              <w:t xml:space="preserve">Max worst-case deviation (% of model size)</w:t>
            </w:r>
          </w:p>
        </w:tc>
        <w:tc>
          <w:tcPr>
            <w:tcW w:type="dxa" w:w="2707"/>
            <w:tcBorders>
              <w:top w:val="single" w:color="BFBFBF" w:sz="4"/>
              <w:left w:val="single" w:color="BFBFBF" w:sz="4"/>
              <w:bottom w:val="single" w:color="BFBFBF" w:sz="4"/>
              <w:right w:val="single" w:color="BFBFBF" w:sz="4"/>
            </w:tcBorders>
            <w:shd w:fill="E8EEF6" w:color="auto" w:val="clear"/>
            <w:tcMar>
              <w:top w:type="dxa" w:w="60"/>
              <w:left w:type="dxa" w:w="100"/>
              <w:bottom w:type="dxa" w:w="60"/>
              <w:right w:type="dxa" w:w="100"/>
            </w:tcMar>
          </w:tcPr>
          <w:p>
            <w:r>
              <w:rPr>
                <w:b/>
                <w:bCs/>
                <w:sz w:val="20"/>
                <w:szCs w:val="20"/>
              </w:rPr>
              <w:t xml:space="preserve">On a model 2 m across</w:t>
            </w:r>
          </w:p>
        </w:tc>
      </w:tr>
      <w:tr>
        <w:trPr>
          <w:tblHeader w:val="off"/>
        </w:trP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Low</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0.5 %</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 mm</w:t>
            </w:r>
          </w:p>
        </w:tc>
      </w:tr>
      <w:tr>
        <w:trPr>
          <w:tblHeader w:val="off"/>
        </w:trP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Medium</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0.2 %</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4 mm</w:t>
            </w:r>
          </w:p>
        </w:tc>
      </w:tr>
      <w:tr>
        <w:trPr>
          <w:tblHeader w:val="off"/>
        </w:trP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High (default)</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0.1 %</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 mm</w:t>
            </w:r>
          </w:p>
        </w:tc>
      </w:tr>
      <w:tr>
        <w:trPr>
          <w:tblHeader w:val="off"/>
        </w:trPr>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Ultra</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0.05 %</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 mm</w:t>
            </w:r>
          </w:p>
        </w:tc>
      </w:tr>
    </w:tbl>
    <w:p>
      <w:pPr>
        <w:spacing w:after="60"/>
      </w:pPr>
    </w:p>
    <w:p>
      <w:pPr>
        <w:spacing w:after="120" w:line="276"/>
      </w:pPr>
      <w:r>
        <w:t xml:space="preserve">A custom limit can also be typed in ("exact max deviation" in the app, </w:t>
      </w:r>
      <w:r>
        <w:rPr>
          <w:rFonts w:ascii="Consolas" w:cs="Consolas" w:eastAsia="Consolas" w:hAnsi="Consolas"/>
        </w:rPr>
        <w:t xml:space="preserve">--auto-deviation</w:t>
      </w:r>
      <w:r>
        <w:t xml:space="preserve"> on the CLI).</w:t>
      </w:r>
    </w:p>
    <w:p>
      <w:pPr>
        <w:pStyle w:val="Heading2"/>
        <w:spacing w:after="120" w:before="280"/>
      </w:pPr>
      <w:r>
        <w:t xml:space="preserve">How it works</w:t>
      </w:r>
    </w:p>
    <w:p>
      <w:pPr>
        <w:spacing w:after="120" w:line="276"/>
      </w:pPr>
      <w:r>
        <w:t xml:space="preserve">The limit is enforced locally, on every single collapse, rather than as one global cap. That lets each area simplify as far as its own shape allows.</w:t>
      </w:r>
    </w:p>
    <w:p>
      <w:pPr>
        <w:spacing w:after="120" w:line="276"/>
      </w:pPr>
      <w:r>
        <w:rPr>
          <w:b/>
          <w:bCs/>
        </w:rPr>
        <w:t xml:space="preserve">1. Track the original surface.</w:t>
      </w:r>
      <w:r>
        <w:t xml:space="preserve"> Every original vertex is a tracked point, plus every face centre on inputs up to 400k faces. Each point is attached to the face of the current mesh it lies on.</w:t>
      </w:r>
    </w:p>
    <w:p>
      <w:pPr>
        <w:spacing w:after="120" w:line="276"/>
      </w:pPr>
      <w:r>
        <w:rPr>
          <w:b/>
          <w:bCs/>
        </w:rPr>
        <w:t xml:space="preserve">2. Check every collapse in both directions.</w:t>
      </w:r>
      <w:r>
        <w:t xml:space="preserve"> A collapse is accepted only if both hold:</w:t>
      </w:r>
    </w:p>
    <w:p>
      <w:pPr>
        <w:pStyle w:val="ListParagraph"/>
        <w:numPr>
          <w:ilvl w:val="0"/>
          <w:numId w:val="2"/>
        </w:numPr>
        <w:spacing w:after="80"/>
      </w:pPr>
      <w:r>
        <w:t xml:space="preserve">Every tracked point on the faces it changes stays within the tolerance of the new faces.</w:t>
      </w:r>
    </w:p>
    <w:p>
      <w:pPr>
        <w:pStyle w:val="ListParagraph"/>
        <w:numPr>
          <w:ilvl w:val="0"/>
          <w:numId w:val="2"/>
        </w:numPr>
        <w:spacing w:after="80"/>
      </w:pPr>
      <w:r>
        <w:t xml:space="preserve">The new faces stay within the tolerance of the original mesh. The new vertex is checked, plus a grid of sample points on each new face (more on big faces, up to about 45).</w:t>
      </w:r>
    </w:p>
    <w:p>
      <w:pPr>
        <w:spacing w:after="120" w:before="80"/>
      </w:pPr>
      <w:r>
        <w:t xml:space="preserve">If either fails, the collapse is rejected and the loop moves on. There is no face target: simplification ends when no valid collapse is left.</w:t>
      </w:r>
    </w:p>
    <w:p>
      <w:pPr>
        <w:spacing w:after="120" w:line="276"/>
      </w:pPr>
      <w:r>
        <w:rPr>
          <w:b/>
          <w:bCs/>
        </w:rPr>
        <w:t xml:space="preserve">3. Search for the best tolerance.</w:t>
      </w:r>
      <w:r>
        <w:t xml:space="preserve"> Points between the tracked ones can drift slightly past the local limit, so the real worst-case (Hausdorff) error is measured after each pass:</w:t>
      </w:r>
    </w:p>
    <w:p>
      <w:pPr>
        <w:pStyle w:val="ListParagraph"/>
        <w:numPr>
          <w:ilvl w:val="0"/>
          <w:numId w:val="3"/>
        </w:numPr>
        <w:spacing w:after="80"/>
      </w:pPr>
      <w:r>
        <w:t xml:space="preserve">The first pass uses 80 % of the limit as the local tolerance.</w:t>
      </w:r>
    </w:p>
    <w:p>
      <w:pPr>
        <w:pStyle w:val="ListParagraph"/>
        <w:numPr>
          <w:ilvl w:val="0"/>
          <w:numId w:val="3"/>
        </w:numPr>
        <w:spacing w:after="80"/>
      </w:pPr>
      <w:r>
        <w:t xml:space="preserve">If the result is within the limit with room to spare, the tolerance is raised (fewer faces). If it is over, it is lowered.</w:t>
      </w:r>
    </w:p>
    <w:p>
      <w:pPr>
        <w:pStyle w:val="ListParagraph"/>
        <w:numPr>
          <w:ilvl w:val="0"/>
          <w:numId w:val="3"/>
        </w:numPr>
        <w:spacing w:after="80"/>
      </w:pPr>
      <w:r>
        <w:t xml:space="preserve">The tolerance is bisected until the bracket is tight, using at most 4 passes (usually 1–3).</w:t>
      </w:r>
    </w:p>
    <w:p>
      <w:pPr>
        <w:pStyle w:val="ListParagraph"/>
        <w:numPr>
          <w:ilvl w:val="0"/>
          <w:numId w:val="3"/>
        </w:numPr>
        <w:spacing w:after="80"/>
      </w:pPr>
      <w:r>
        <w:t xml:space="preserve">The result with the fewest faces that is still within the limit is kept.</w:t>
      </w:r>
    </w:p>
    <w:p>
      <w:pPr>
        <w:spacing w:after="120" w:before="120"/>
      </w:pPr>
      <w:r>
        <w:rPr>
          <w:b/>
          <w:bCs/>
        </w:rPr>
        <w:t xml:space="preserve">Why local beats global.</w:t>
      </w:r>
      <w:r>
        <w:t xml:space="preserve"> With a single global error cap, one noisy spot or thin carving decided the face count for the whole model. With the local check, that spot stays dense and the rest of the mesh still simplifies.</w:t>
      </w:r>
    </w:p>
    <w:p>
      <w:pPr>
        <w:spacing w:after="120" w:line="276"/>
      </w:pPr>
      <w:r>
        <w:t xml:space="preserve">The same check now also powers Percentage and Face count mode (unless "Fast" is ticked). There, the tool searches for the smallest tolerance that still reaches the requested count. This cuts the worst-case error 2–4x at the same face count, for example boots at 10,000 faces: 0.279 % down to 0.084 %.</w:t>
      </w:r>
    </w:p>
    <w:p>
      <w:pPr>
        <w:pStyle w:val="Heading2"/>
        <w:spacing w:after="120" w:before="280"/>
      </w:pPr>
      <w:r>
        <w:t xml:space="preserve">Results on 7 SKUs</w:t>
      </w:r>
    </w:p>
    <w:p>
      <w:pPr>
        <w:spacing w:after="120" w:line="276"/>
      </w:pPr>
      <w:r>
        <w:t xml:space="preserve">All 28 runs (7 models × 4 levels) stayed within their limit. They use 2–8x fewer faces than the earlier global-cap version, which is shown in brackets.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1534"/>
        <w:gridCol w:w="1625"/>
        <w:gridCol w:w="1625"/>
        <w:gridCol w:w="1715"/>
      </w:tblGrid>
      <w:tr>
        <w:trPr>
          <w:tblHeader/>
        </w:trPr>
        <w:tc>
          <w:tcPr>
            <w:tcW w:type="dxa" w:w="2527"/>
            <w:tcBorders>
              <w:top w:val="single" w:color="BFBFBF" w:sz="4"/>
              <w:left w:val="single" w:color="BFBFBF" w:sz="4"/>
              <w:bottom w:val="single" w:color="BFBFBF" w:sz="4"/>
              <w:right w:val="single" w:color="BFBFBF" w:sz="4"/>
            </w:tcBorders>
            <w:shd w:fill="E8EEF6" w:color="auto" w:val="clear"/>
            <w:tcMar>
              <w:top w:type="dxa" w:w="60"/>
              <w:left w:type="dxa" w:w="100"/>
              <w:bottom w:type="dxa" w:w="60"/>
              <w:right w:type="dxa" w:w="100"/>
            </w:tcMar>
          </w:tcPr>
          <w:p>
            <w:r>
              <w:rPr>
                <w:b/>
                <w:bCs/>
                <w:sz w:val="20"/>
                <w:szCs w:val="20"/>
              </w:rPr>
              <w:t xml:space="preserve">Mesh (input faces)</w:t>
            </w:r>
          </w:p>
        </w:tc>
        <w:tc>
          <w:tcPr>
            <w:tcW w:type="dxa" w:w="1534"/>
            <w:tcBorders>
              <w:top w:val="single" w:color="BFBFBF" w:sz="4"/>
              <w:left w:val="single" w:color="BFBFBF" w:sz="4"/>
              <w:bottom w:val="single" w:color="BFBFBF" w:sz="4"/>
              <w:right w:val="single" w:color="BFBFBF" w:sz="4"/>
            </w:tcBorders>
            <w:shd w:fill="E8EEF6" w:color="auto" w:val="clear"/>
            <w:tcMar>
              <w:top w:type="dxa" w:w="60"/>
              <w:left w:type="dxa" w:w="100"/>
              <w:bottom w:type="dxa" w:w="60"/>
              <w:right w:type="dxa" w:w="100"/>
            </w:tcMar>
          </w:tcPr>
          <w:p>
            <w:r>
              <w:rPr>
                <w:b/>
                <w:bCs/>
                <w:sz w:val="20"/>
                <w:szCs w:val="20"/>
              </w:rPr>
              <w:t xml:space="preserve">Low 0.5 %</w:t>
            </w:r>
          </w:p>
        </w:tc>
        <w:tc>
          <w:tcPr>
            <w:tcW w:type="dxa" w:w="1625"/>
            <w:tcBorders>
              <w:top w:val="single" w:color="BFBFBF" w:sz="4"/>
              <w:left w:val="single" w:color="BFBFBF" w:sz="4"/>
              <w:bottom w:val="single" w:color="BFBFBF" w:sz="4"/>
              <w:right w:val="single" w:color="BFBFBF" w:sz="4"/>
            </w:tcBorders>
            <w:shd w:fill="E8EEF6" w:color="auto" w:val="clear"/>
            <w:tcMar>
              <w:top w:type="dxa" w:w="60"/>
              <w:left w:type="dxa" w:w="100"/>
              <w:bottom w:type="dxa" w:w="60"/>
              <w:right w:type="dxa" w:w="100"/>
            </w:tcMar>
          </w:tcPr>
          <w:p>
            <w:r>
              <w:rPr>
                <w:b/>
                <w:bCs/>
                <w:sz w:val="20"/>
                <w:szCs w:val="20"/>
              </w:rPr>
              <w:t xml:space="preserve">Medium 0.2 %</w:t>
            </w:r>
          </w:p>
        </w:tc>
        <w:tc>
          <w:tcPr>
            <w:tcW w:type="dxa" w:w="1625"/>
            <w:tcBorders>
              <w:top w:val="single" w:color="BFBFBF" w:sz="4"/>
              <w:left w:val="single" w:color="BFBFBF" w:sz="4"/>
              <w:bottom w:val="single" w:color="BFBFBF" w:sz="4"/>
              <w:right w:val="single" w:color="BFBFBF" w:sz="4"/>
            </w:tcBorders>
            <w:shd w:fill="E8EEF6" w:color="auto" w:val="clear"/>
            <w:tcMar>
              <w:top w:type="dxa" w:w="60"/>
              <w:left w:type="dxa" w:w="100"/>
              <w:bottom w:type="dxa" w:w="60"/>
              <w:right w:type="dxa" w:w="100"/>
            </w:tcMar>
          </w:tcPr>
          <w:p>
            <w:r>
              <w:rPr>
                <w:b/>
                <w:bCs/>
                <w:sz w:val="20"/>
                <w:szCs w:val="20"/>
              </w:rPr>
              <w:t xml:space="preserve">High 0.1 %</w:t>
            </w:r>
          </w:p>
        </w:tc>
        <w:tc>
          <w:tcPr>
            <w:tcW w:type="dxa" w:w="1715"/>
            <w:tcBorders>
              <w:top w:val="single" w:color="BFBFBF" w:sz="4"/>
              <w:left w:val="single" w:color="BFBFBF" w:sz="4"/>
              <w:bottom w:val="single" w:color="BFBFBF" w:sz="4"/>
              <w:right w:val="single" w:color="BFBFBF" w:sz="4"/>
            </w:tcBorders>
            <w:shd w:fill="E8EEF6" w:color="auto" w:val="clear"/>
            <w:tcMar>
              <w:top w:type="dxa" w:w="60"/>
              <w:left w:type="dxa" w:w="100"/>
              <w:bottom w:type="dxa" w:w="60"/>
              <w:right w:type="dxa" w:w="100"/>
            </w:tcMar>
          </w:tcPr>
          <w:p>
            <w:r>
              <w:rPr>
                <w:b/>
                <w:bCs/>
                <w:sz w:val="20"/>
                <w:szCs w:val="20"/>
              </w:rPr>
              <w:t xml:space="preserve">Ultra 0.05 %</w:t>
            </w:r>
          </w:p>
        </w:tc>
      </w:tr>
      <w:tr>
        <w:trPr>
          <w:tblHeader w:val="off"/>
        </w:trP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Wooden rack (854,828)</w:t>
            </w:r>
          </w:p>
        </w:tc>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216 (502)</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396 (1,910)</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654 (5,032)</w:t>
            </w:r>
          </w:p>
        </w:tc>
        <w:tc>
          <w:tcPr>
            <w:tcW w:type="dxa" w:w="17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1,414 (8,406)</w:t>
            </w:r>
          </w:p>
        </w:tc>
      </w:tr>
      <w:tr>
        <w:trPr>
          <w:tblHeader w:val="off"/>
        </w:trP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L-shaped sofa (860,218)</w:t>
            </w:r>
          </w:p>
        </w:tc>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398 (3,150)</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782 (14,602)</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1,656 (23,339)</w:t>
            </w:r>
          </w:p>
        </w:tc>
        <w:tc>
          <w:tcPr>
            <w:tcW w:type="dxa" w:w="17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3,631 (25,179)</w:t>
            </w:r>
          </w:p>
        </w:tc>
      </w:tr>
      <w:tr>
        <w:trPr>
          <w:tblHeader w:val="off"/>
        </w:trP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STL scan (11,420)</w:t>
            </w:r>
          </w:p>
        </w:tc>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392 (2,706)</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866 (7,152)</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1,790 (7,826)</w:t>
            </w:r>
          </w:p>
        </w:tc>
        <w:tc>
          <w:tcPr>
            <w:tcW w:type="dxa" w:w="17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3,474 (8,970)</w:t>
            </w:r>
          </w:p>
        </w:tc>
      </w:tr>
      <w:tr>
        <w:trPr>
          <w:tblHeader w:val="off"/>
        </w:trP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Cartoon koala (1,790,758)</w:t>
            </w:r>
          </w:p>
        </w:tc>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1,556 (4,960)</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3,406 (12,970)</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6,922 (25,802)</w:t>
            </w:r>
          </w:p>
        </w:tc>
        <w:tc>
          <w:tcPr>
            <w:tcW w:type="dxa" w:w="17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14,598 (49,030)</w:t>
            </w:r>
          </w:p>
        </w:tc>
      </w:tr>
      <w:tr>
        <w:trPr>
          <w:tblHeader w:val="off"/>
        </w:trP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Hunyuan doll (627,666)</w:t>
            </w:r>
          </w:p>
        </w:tc>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980 (2,984)</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2,316 (6,368)</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4,542 (11,802)</w:t>
            </w:r>
          </w:p>
        </w:tc>
        <w:tc>
          <w:tcPr>
            <w:tcW w:type="dxa" w:w="17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9,232 (25,006)</w:t>
            </w:r>
          </w:p>
        </w:tc>
      </w:tr>
      <w:tr>
        <w:trPr>
          <w:tblHeader w:val="off"/>
        </w:trP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Boots (129,094)</w:t>
            </w:r>
          </w:p>
        </w:tc>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2,412 (3,909)</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5,491 (12,967)</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13,218 (19,728)</w:t>
            </w:r>
          </w:p>
        </w:tc>
        <w:tc>
          <w:tcPr>
            <w:tcW w:type="dxa" w:w="17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18,313 (42,760)</w:t>
            </w:r>
          </w:p>
        </w:tc>
      </w:tr>
      <w:tr>
        <w:trPr>
          <w:tblHeader w:val="off"/>
        </w:trP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Versa scan (93,126)</w:t>
            </w:r>
          </w:p>
        </w:tc>
        <w:tc>
          <w:tcPr>
            <w:tcW w:type="dxa" w:w="15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4,821 (8,102)</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11,857 (72,913)</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25,221 (76,465)</w:t>
            </w:r>
          </w:p>
        </w:tc>
        <w:tc>
          <w:tcPr>
            <w:tcW w:type="dxa" w:w="17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48,861 (83,524)</w:t>
            </w:r>
          </w:p>
        </w:tc>
      </w:tr>
    </w:tbl>
    <w:p>
      <w:pPr>
        <w:spacing w:after="60"/>
      </w:pPr>
    </w:p>
    <w:p>
      <w:pPr>
        <w:spacing w:after="120" w:line="276"/>
      </w:pPr>
      <w:r>
        <w:t xml:space="preserve">Each step up roughly doubles the face count. Simple hard-surface pieces (rack, sofa) drop to a few hundred faces at Low, while organic or scanned models keep more because their shape needs it.</w:t>
      </w:r>
    </w:p>
    <w:p>
      <w:pPr>
        <w:pStyle w:val="Heading2"/>
        <w:spacing w:after="120" w:before="280"/>
      </w:pPr>
      <w:r>
        <w:t xml:space="preserve">Trade-offs</w:t>
      </w:r>
    </w:p>
    <w:p>
      <w:pPr>
        <w:pStyle w:val="ListParagraph"/>
        <w:numPr>
          <w:ilvl w:val="0"/>
          <w:numId w:val="2"/>
        </w:numPr>
        <w:spacing w:after="80"/>
      </w:pPr>
      <w:r>
        <w:rPr>
          <w:b/>
          <w:bCs/>
        </w:rPr>
        <w:t xml:space="preserve">Runtime:</w:t>
      </w:r>
      <w:r>
        <w:t xml:space="preserve"> a pass takes about 0.3 s on small meshes and 15–35 s on 0.8–1.8M faces. With 1–4 passes, Automatic mode takes 1–100 s in total, compared with seconds for normal FA-QEM.</w:t>
      </w:r>
    </w:p>
    <w:p>
      <w:pPr>
        <w:pStyle w:val="ListParagraph"/>
        <w:numPr>
          <w:ilvl w:val="0"/>
          <w:numId w:val="2"/>
        </w:numPr>
        <w:spacing w:after="80"/>
      </w:pPr>
      <w:r>
        <w:rPr>
          <w:b/>
          <w:bCs/>
        </w:rPr>
        <w:t xml:space="preserve">Noisy scans:</w:t>
      </w:r>
      <w:r>
        <w:t xml:space="preserve"> when surface noise is larger than the allowed deviation, High and Ultra keep many faces. This is correct behaviour, since the noise is real geometry at that tolerance. Low or Medium suits those inputs better.</w:t>
      </w:r>
    </w:p>
    <w:p>
      <w:pPr>
        <w:pStyle w:val="ListParagraph"/>
        <w:numPr>
          <w:ilvl w:val="0"/>
          <w:numId w:val="2"/>
        </w:numPr>
        <w:spacing w:after="80"/>
      </w:pPr>
      <w:r>
        <w:rPr>
          <w:b/>
          <w:bCs/>
        </w:rPr>
        <w:t xml:space="preserve">Guarantee scope:</w:t>
      </w:r>
      <w:r>
        <w:t xml:space="preserve"> the per-collapse check covers the tracked points. The final worst-case error is always measured, and only results within the limit are returned as "within".</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34"/>
      <w:szCs w:val="34"/>
    </w:rPr>
  </w:style>
  <w:style w:type="paragraph" w:styleId="Heading2">
    <w:name w:val="Heading 2"/>
    <w:basedOn w:val="Normal"/>
    <w:next w:val="Normal"/>
    <w:qFormat/>
    <w:rPr>
      <w:rFonts w:ascii="Calibri" w:cs="Calibri" w:eastAsia="Calibri" w:hAnsi="Calibri"/>
      <w:b/>
      <w:bCs/>
      <w:color w:val="2E5597"/>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FA-QEM Detail Levels</dc:title>
  <dc:creator>Jaswanth Andhavarapu</dc:creator>
  <cp:lastModifiedBy>Un-named</cp:lastModifiedBy>
  <cp:revision>1</cp:revision>
  <dcterms:created xsi:type="dcterms:W3CDTF">2026-10-01T11:45:06.922Z</dcterms:created>
  <dcterms:modified xsi:type="dcterms:W3CDTF">2026-10-01T11:45:06.922Z</dcterms:modified>
</cp:coreProperties>
</file>

<file path=docProps/custom.xml><?xml version="1.0" encoding="utf-8"?>
<Properties xmlns="http://schemas.openxmlformats.org/officeDocument/2006/custom-properties" xmlns:vt="http://schemas.openxmlformats.org/officeDocument/2006/docPropsVTypes"/>
</file>