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Expenses policy</w:t>
      </w:r>
    </w:p>
    <w:p>
      <w:pPr>
        <w:pStyle w:val="Heading2"/>
      </w:pPr>
      <w:r>
        <w:t>About this policy</w:t>
      </w:r>
    </w:p>
    <w:p>
      <w:r>
        <w:t>This company policy applies to all employees. Employees must follow the company policy, and the company expects every employee to read each policy. The company reviews the policy every year; employees can ask the policy owner about the company policy at any time.</w:t>
      </w:r>
    </w:p>
    <w:p>
      <w:pPr>
        <w:pStyle w:val="Heading2"/>
      </w:pPr>
      <w:r>
        <w:t>Receipts</w:t>
      </w:r>
    </w:p>
    <w:p>
      <w:r>
        <w:t>Submit receipts in the expense tool within thirty days. Lost receipts need a signed declaration from your manager.</w:t>
      </w:r>
    </w:p>
    <w:p>
      <w:pPr>
        <w:pStyle w:val="Heading2"/>
      </w:pPr>
      <w:r>
        <w:t>Reimbursement</w:t>
      </w:r>
    </w:p>
    <w:p>
      <w:r>
        <w:t>Approved expenses are reimbursed with the next payroll run. Mileage for a private car is paid at thirty cents per kilometre.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