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Marketing Analytics – Full Report</w:t>
      </w:r>
    </w:p>
    <w:p>
      <w:pPr>
        <w:pStyle w:val="Heading2"/>
      </w:pPr>
      <w:r>
        <w:t>Q1: Overall Trend in User Engagement</w:t>
      </w:r>
    </w:p>
    <w:p>
      <w:r>
        <w:t>User engagement shows a gradually improving trend across the campaign. The average engagement score rises from around 1.9 to slightly above 2.0, indicating users became more engaged over time.</w:t>
      </w:r>
    </w:p>
    <w:p>
      <w:pPr>
        <w:pStyle w:val="Heading2"/>
      </w:pPr>
      <w:r>
        <w:t>Q2: Banner Size Impact on Clicks</w:t>
      </w:r>
    </w:p>
    <w:p>
      <w:r>
        <w:t>240×400 generated the highest clicks, followed by 728×90 and 300×250. Smaller banners produced fewer clicks.</w:t>
      </w:r>
    </w:p>
    <w:p>
      <w:pPr>
        <w:pStyle w:val="Heading2"/>
      </w:pPr>
      <w:r>
        <w:t>Q3: Placement Performance</w:t>
      </w:r>
    </w:p>
    <w:p>
      <w:r>
        <w:t>Placements ghi and mno delivered the highest displays and clicks. abc had the lowest performance.</w:t>
      </w:r>
    </w:p>
    <w:p>
      <w:pPr>
        <w:pStyle w:val="Heading2"/>
      </w:pPr>
      <w:r>
        <w:t>Q4: Correlation Between Cost and Revenue</w:t>
      </w:r>
    </w:p>
    <w:p>
      <w:r>
        <w:t>There is a strong positive correlation (~0.76), meaning higher ad-serving cost leads to higher revenue.</w:t>
      </w:r>
    </w:p>
    <w:p>
      <w:pPr>
        <w:pStyle w:val="Heading2"/>
      </w:pPr>
      <w:r>
        <w:t>Q5: Average Revenue per Click</w:t>
      </w:r>
    </w:p>
    <w:p>
      <w:r>
        <w:t>Overall average revenue per click is approximately 0.11. Campaign 1 had the highest revenue per click.</w:t>
      </w:r>
    </w:p>
    <w:p>
      <w:pPr>
        <w:pStyle w:val="Heading2"/>
      </w:pPr>
      <w:r>
        <w:t>Q6: Campaign Post-Click Conversion Rates</w:t>
      </w:r>
    </w:p>
    <w:p>
      <w:r>
        <w:t>Campaign 1 has the highest conversion rate (~35%), followed by Campaign 3 (~4.5%), and Campaign 2 (~2%).</w:t>
      </w:r>
    </w:p>
    <w:p>
      <w:pPr>
        <w:pStyle w:val="Heading2"/>
      </w:pPr>
      <w:r>
        <w:t>Q7: Post-Click Sales Trends</w:t>
      </w:r>
    </w:p>
    <w:p>
      <w:r>
        <w:t>Sales peaked in April and early May and declined through June. The 7-day rolling average confirmed a decreasing pattern over time.</w:t>
      </w:r>
    </w:p>
    <w:p>
      <w:pPr>
        <w:pStyle w:val="Heading2"/>
      </w:pPr>
      <w:r>
        <w:t>Q8: User Engagement Across Banner Sizes</w:t>
      </w:r>
    </w:p>
    <w:p>
      <w:r>
        <w:t>240×400, 300×250, and 728×90 banners had the highest medium/high engagement counts.</w:t>
      </w:r>
    </w:p>
    <w:p>
      <w:pPr>
        <w:pStyle w:val="Heading2"/>
      </w:pPr>
      <w:r>
        <w:t>Q9: Placement Conversion Rates</w:t>
      </w:r>
    </w:p>
    <w:p>
      <w:r>
        <w:t>Placement abc had the highest conversion rate, followed by jkl, indicating more qualified audiences.</w:t>
      </w:r>
    </w:p>
    <w:p>
      <w:pPr>
        <w:pStyle w:val="Heading2"/>
      </w:pPr>
      <w:r>
        <w:t>Q10: Seasonal Display &amp; Click Patterns</w:t>
      </w:r>
    </w:p>
    <w:p>
      <w:r>
        <w:t>April had the highest displays/clicks, declining through May and June, showing campaign fatigue or reduced allocation.</w:t>
      </w:r>
    </w:p>
    <w:p>
      <w:pPr>
        <w:pStyle w:val="Heading2"/>
      </w:pPr>
      <w:r>
        <w:t>Q11: Engagement vs Revenue Correlation</w:t>
      </w:r>
    </w:p>
    <w:p>
      <w:r>
        <w:t>A weak positive correlation (~0.18) shows higher engagement slightly contributes to revenue.</w:t>
      </w:r>
    </w:p>
    <w:p>
      <w:pPr>
        <w:pStyle w:val="Heading2"/>
      </w:pPr>
      <w:r>
        <w:t>Q12: Outlier Detection</w:t>
      </w:r>
    </w:p>
    <w:p>
      <w:r>
        <w:t>Significant outliers were found in cost, clicks, and revenue, indicating peak performance days or anomalies.</w:t>
      </w:r>
    </w:p>
    <w:p>
      <w:pPr>
        <w:pStyle w:val="Heading2"/>
      </w:pPr>
      <w:r>
        <w:t>Q13: Campaign Effectiveness (Banner &amp; Placement)</w:t>
      </w:r>
    </w:p>
    <w:p>
      <w:r>
        <w:t>Campaign 1 and banners like 160×600 and 580×400 gave the best revenue-per-cost effectiveness.</w:t>
      </w:r>
    </w:p>
    <w:p>
      <w:pPr>
        <w:pStyle w:val="Heading2"/>
      </w:pPr>
      <w:r>
        <w:t>Q14: Best ROI Banners/Campaigns</w:t>
      </w:r>
    </w:p>
    <w:p>
      <w:r>
        <w:t>160×600 and 580×400 banners and Campaign 1 consistently produced top ROI.</w:t>
      </w:r>
    </w:p>
    <w:p>
      <w:pPr>
        <w:pStyle w:val="Heading2"/>
      </w:pPr>
      <w:r>
        <w:t>Q15: Distribution of Conversions by Placement</w:t>
      </w:r>
    </w:p>
    <w:p>
      <w:r>
        <w:t>ghi and mno generated the most conversions due to high traffic, while abc and jkl had fewer but more efficient conversions.</w:t>
      </w:r>
    </w:p>
    <w:p>
      <w:pPr>
        <w:pStyle w:val="Heading2"/>
      </w:pPr>
      <w:r>
        <w:t>Q16: Weekday vs Weekend Engagement</w:t>
      </w:r>
    </w:p>
    <w:p>
      <w:r>
        <w:t>Engagement levels were nearly identical across weekdays and weekends (~2.0).</w:t>
      </w:r>
    </w:p>
    <w:p>
      <w:pPr>
        <w:pStyle w:val="Heading2"/>
      </w:pPr>
      <w:r>
        <w:t>Q17: CPC by Campaigns &amp; Banners</w:t>
      </w:r>
    </w:p>
    <w:p>
      <w:r>
        <w:t>Campaign 2 had the lowest CPC. Banners 800×250 and 580×400 had the lowest CPC.</w:t>
      </w:r>
    </w:p>
    <w:p>
      <w:pPr>
        <w:pStyle w:val="Heading2"/>
      </w:pPr>
      <w:r>
        <w:t>Q18: Cost-Effective Campaigns/Placements</w:t>
      </w:r>
    </w:p>
    <w:p>
      <w:r>
        <w:t>Campaign 1 and placements jkl and ghi produced the highest conversions per cost.</w:t>
      </w:r>
    </w:p>
    <w:p>
      <w:pPr>
        <w:pStyle w:val="Heading2"/>
      </w:pPr>
      <w:r>
        <w:t>Q19: Conversion Rate by Day of Week</w:t>
      </w:r>
    </w:p>
    <w:p>
      <w:r>
        <w:t>Thursdays had slightly higher conversion rates; Saturdays slightly lower.</w:t>
      </w:r>
    </w:p>
    <w:p>
      <w:pPr>
        <w:pStyle w:val="Heading2"/>
      </w:pPr>
      <w:r>
        <w:t>Q20: Effectiveness by Engagement Type</w:t>
      </w:r>
    </w:p>
    <w:p>
      <w:r>
        <w:t>High-engagement users drove the highest average post-click conversions, far exceeding medium or low engagement users.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