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nl1uopeoz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Problem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churn has increased from a stable ~16% baseline to over 20% in recent quarters.</w:t>
        <w:br w:type="textWrapping"/>
        <w:t xml:space="preserve">With approximately 10,000 customers and an average balance of ~$76K, every percentage point increase in churn represents roughly $230K in annual revenue at an estimated 3% margin on deposits.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trend continues, Meridian Bank could lose nearly $900K annually, making customer retention a critical business priority.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fco2kk1ys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From Leadership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is churn most concentrated — by geography, age group, product mix, or tenure?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churn being driven by one primary issue or several contributing factors?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 segments should be prioritized for retention efforts, and what revenue is at risk?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early warning indicators the bank should monitor to detect churn risk sooner?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yqu7jbqnd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is successful if it helps leadership: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retention efforts on the highest-risk customer segments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estimated revenue impact of churn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ongoing monitoring approach to identify churn trends earlier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q0g7wuqnf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Constraints / Scope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is based on a 10,000-customer dataset snapshot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assume limited retention budget and focus on prioritization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is defined as customer account exit during the observation period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