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Semibold" w:hAnsi="Segoe UI Semibold"/>
          <w:b/>
          <w:color w:val="1E3A8A"/>
          <w:sz w:val="48"/>
        </w:rPr>
        <w:t>MeshCentral &amp; AI-Powered IT Helpdesk</w:t>
      </w:r>
    </w:p>
    <w:p>
      <w:pPr>
        <w:spacing w:before="0" w:after="320"/>
      </w:pPr>
      <w:r>
        <w:rPr>
          <w:rFonts w:ascii="Segoe UI" w:hAnsi="Segoe UI"/>
          <w:color w:val="2563EB"/>
          <w:sz w:val="26"/>
        </w:rPr>
        <w:t>Comprehensive Technical Architecture, Protocols, Human-in-the-Loop Escalation &amp; Platform Comparison</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rPr>
              <w:t xml:space="preserve">Project: </w:t>
            </w:r>
            <w:r>
              <w:t xml:space="preserve">IT Helpdesk Autonomous Remediation PoC   |   </w:t>
            </w:r>
            <w:r>
              <w:rPr>
                <w:b/>
              </w:rPr>
              <w:t xml:space="preserve">Version: </w:t>
            </w:r>
            <w:r>
              <w:t xml:space="preserve">1.0 (Production Architecture)   |   </w:t>
            </w:r>
            <w:r>
              <w:rPr>
                <w:b/>
              </w:rPr>
              <w:t xml:space="preserve">Platform: </w:t>
            </w:r>
            <w:r>
              <w:t>MeshCentral + Next.js + Express + Gemini 2.5 Flash</w:t>
            </w:r>
          </w:p>
        </w:tc>
      </w:tr>
    </w:tbl>
    <w:p>
      <w:pPr>
        <w:spacing w:after="160"/>
      </w:pPr>
    </w:p>
    <w:p>
      <w:pPr>
        <w:keepNext/>
        <w:spacing w:before="360" w:after="120"/>
      </w:pPr>
      <w:r>
        <w:rPr>
          <w:rFonts w:ascii="Segoe UI Semibold" w:hAnsi="Segoe UI Semibold"/>
          <w:b/>
          <w:color w:val="1E3A8A"/>
          <w:sz w:val="32"/>
        </w:rPr>
        <w:t>1. Overview of MeshCentral</w:t>
      </w:r>
    </w:p>
    <w:p>
      <w:pPr>
        <w:spacing w:after="120" w:line="276" w:lineRule="auto"/>
      </w:pPr>
      <w:r>
        <w:rPr>
          <w:rFonts w:ascii="Segoe UI" w:hAnsi="Segoe UI"/>
          <w:sz w:val="20"/>
        </w:rPr>
        <w:t>MeshCentral is a comprehensive, open-source (Apache 2.0 licensed) multi-platform web-based remote computer management solution originally created by Ylian Saint-Hilaire at Intel. It provides full web-native remote management across local networks (LAN) or the public Internet (WAN) without requiring third-party cloud infrastructure or recurring subscription fees.</w:t>
      </w:r>
    </w:p>
    <w:p>
      <w:pPr>
        <w:keepNext/>
        <w:spacing w:before="240" w:after="80"/>
      </w:pPr>
      <w:r>
        <w:rPr>
          <w:rFonts w:ascii="Segoe UI Semibold" w:hAnsi="Segoe UI Semibold"/>
          <w:b/>
          <w:color w:val="2563EB"/>
          <w:sz w:val="26"/>
        </w:rPr>
        <w:t>Core Platform Capabilities</w:t>
      </w:r>
    </w:p>
    <w:p>
      <w:pPr>
        <w:pStyle w:val="ListBullet"/>
        <w:spacing w:after="60" w:line="276" w:lineRule="auto"/>
      </w:pPr>
      <w:r>
        <w:rPr>
          <w:b/>
          <w:color w:val="1F2937"/>
        </w:rPr>
        <w:t xml:space="preserve">Web-Based Remote Desktop (KVM): </w:t>
      </w:r>
      <w:r>
        <w:rPr>
          <w:rFonts w:ascii="Segoe UI" w:hAnsi="Segoe UI"/>
          <w:sz w:val="20"/>
        </w:rPr>
        <w:t>Smooth HTML5 Canvas screen-sharing with bidirectional keyboard and mouse control. Works entirely in standard browsers (Chrome, Edge, Safari, Firefox) without any plugins, Java applets, or client installations on the technician's workstation.</w:t>
      </w:r>
    </w:p>
    <w:p>
      <w:pPr>
        <w:pStyle w:val="ListBullet"/>
        <w:spacing w:after="60" w:line="276" w:lineRule="auto"/>
      </w:pPr>
      <w:r>
        <w:rPr>
          <w:b/>
          <w:color w:val="1F2937"/>
        </w:rPr>
        <w:t xml:space="preserve">Web-Based Remote Terminal: </w:t>
      </w:r>
      <w:r>
        <w:rPr>
          <w:rFonts w:ascii="Segoe UI" w:hAnsi="Segoe UI"/>
          <w:sz w:val="20"/>
        </w:rPr>
        <w:t>Direct, interactive command-line access (PowerShell and cmd.exe on Windows, bash/sh on Linux/macOS) executed natively as an elevated administrative service.</w:t>
      </w:r>
    </w:p>
    <w:p>
      <w:pPr>
        <w:pStyle w:val="ListBullet"/>
        <w:spacing w:after="60" w:line="276" w:lineRule="auto"/>
      </w:pPr>
      <w:r>
        <w:rPr>
          <w:b/>
          <w:color w:val="1F2937"/>
        </w:rPr>
        <w:t xml:space="preserve">Remote File Explorer: </w:t>
      </w:r>
      <w:r>
        <w:rPr>
          <w:rFonts w:ascii="Segoe UI" w:hAnsi="Segoe UI"/>
          <w:sz w:val="20"/>
        </w:rPr>
        <w:t>Dual-pane graphical file manager allowing file uploads, downloads, directory traversal, deletion, and remote folder management.</w:t>
      </w:r>
    </w:p>
    <w:p>
      <w:pPr>
        <w:pStyle w:val="ListBullet"/>
        <w:spacing w:after="60" w:line="276" w:lineRule="auto"/>
      </w:pPr>
      <w:r>
        <w:rPr>
          <w:b/>
          <w:color w:val="1F2937"/>
        </w:rPr>
        <w:t xml:space="preserve">Headless Script &amp; Command Execution: </w:t>
      </w:r>
      <w:r>
        <w:rPr>
          <w:rFonts w:ascii="Segoe UI" w:hAnsi="Segoe UI"/>
          <w:sz w:val="20"/>
        </w:rPr>
        <w:t>Seamless execution of background commands and scripts without user session interruption via CLI (meshctrl.js) and WebSockets.</w:t>
      </w:r>
    </w:p>
    <w:p>
      <w:pPr>
        <w:pStyle w:val="ListBullet"/>
        <w:spacing w:after="60" w:line="276" w:lineRule="auto"/>
      </w:pPr>
      <w:r>
        <w:rPr>
          <w:b/>
          <w:color w:val="1F2937"/>
        </w:rPr>
        <w:t xml:space="preserve">Hardware-Level Out-of-Band Management (Intel AMT/vPro): </w:t>
      </w:r>
      <w:r>
        <w:rPr>
          <w:rFonts w:ascii="Segoe UI" w:hAnsi="Segoe UI"/>
          <w:sz w:val="20"/>
        </w:rPr>
        <w:t>Direct integration with Intel Active Management Technology (AMT), enabling power cycling, hardware KVM, and remote management even when the OS is blue-screened or turned off.</w:t>
      </w:r>
    </w:p>
    <w:p>
      <w:pPr>
        <w:pStyle w:val="ListBullet"/>
        <w:spacing w:after="60" w:line="276" w:lineRule="auto"/>
      </w:pPr>
      <w:r>
        <w:rPr>
          <w:b/>
          <w:color w:val="1F2937"/>
        </w:rPr>
        <w:t xml:space="preserve">Power Management: </w:t>
      </w:r>
      <w:r>
        <w:rPr>
          <w:rFonts w:ascii="Segoe UI" w:hAnsi="Segoe UI"/>
          <w:sz w:val="20"/>
        </w:rPr>
        <w:t>Graceful reboot, hard power cycle, shutdown, sleep mode, and Wake-on-LAN (WoL) across distributed networks.</w:t>
      </w:r>
    </w:p>
    <w:p>
      <w:pPr>
        <w:keepNext/>
        <w:spacing w:before="360" w:after="120"/>
      </w:pPr>
      <w:r>
        <w:rPr>
          <w:rFonts w:ascii="Segoe UI Semibold" w:hAnsi="Segoe UI Semibold"/>
          <w:b/>
          <w:color w:val="1E3A8A"/>
          <w:sz w:val="32"/>
        </w:rPr>
        <w:t>2. Business Impact, Uses &amp; Enterprise Benefits</w:t>
      </w:r>
    </w:p>
    <w:p>
      <w:pPr>
        <w:spacing w:after="120" w:line="276" w:lineRule="auto"/>
      </w:pPr>
      <w:r>
        <w:rPr>
          <w:rFonts w:ascii="Segoe UI" w:hAnsi="Segoe UI"/>
          <w:sz w:val="20"/>
        </w:rPr>
        <w:t>Integrating MeshCentral with conversational AI (Google Gemini 2.5 Flash) transforms the traditional reactive IT support paradigm into an autonomous, self-healing support desk. Common tier-1 software malfunctions are diagnosed, verified, and resolved in seconds.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Mar>
              <w:top w:w="120" w:type="dxa"/>
              <w:bottom w:w="120" w:type="dxa"/>
              <w:left w:w="140" w:type="dxa"/>
              <w:right w:w="140" w:type="dxa"/>
            </w:tcMar>
          </w:tcPr>
          <w:p>
            <w:pPr>
              <w:spacing w:after="0"/>
            </w:pPr>
            <w:r>
              <w:rPr>
                <w:b/>
                <w:color w:val="FFFFFF"/>
                <w:sz w:val="19"/>
              </w:rPr>
              <w:t>Metric / KPI</w:t>
            </w:r>
          </w:p>
        </w:tc>
        <w:tc>
          <w:tcPr>
            <w:tcW w:type="dxa" w:w="3120"/>
            <w:shd w:fill="1E3A8A"/>
            <w:tcMar>
              <w:top w:w="120" w:type="dxa"/>
              <w:bottom w:w="120" w:type="dxa"/>
              <w:left w:w="140" w:type="dxa"/>
              <w:right w:w="140" w:type="dxa"/>
            </w:tcMar>
          </w:tcPr>
          <w:p>
            <w:pPr>
              <w:spacing w:after="0"/>
            </w:pPr>
            <w:r>
              <w:rPr>
                <w:b/>
                <w:color w:val="FFFFFF"/>
                <w:sz w:val="19"/>
              </w:rPr>
              <w:t>Traditional IT Support</w:t>
            </w:r>
          </w:p>
        </w:tc>
        <w:tc>
          <w:tcPr>
            <w:tcW w:type="dxa" w:w="3120"/>
            <w:shd w:fill="1E3A8A"/>
            <w:tcMar>
              <w:top w:w="120" w:type="dxa"/>
              <w:bottom w:w="120" w:type="dxa"/>
              <w:left w:w="140" w:type="dxa"/>
              <w:right w:w="140" w:type="dxa"/>
            </w:tcMar>
          </w:tcPr>
          <w:p>
            <w:pPr>
              <w:spacing w:after="0"/>
            </w:pPr>
            <w:r>
              <w:rPr>
                <w:b/>
                <w:color w:val="FFFFFF"/>
                <w:sz w:val="19"/>
              </w:rPr>
              <w:t>AI + MeshCentral Self-Healing</w:t>
            </w:r>
          </w:p>
        </w:tc>
      </w:tr>
      <w:tr>
        <w:tc>
          <w:tcPr>
            <w:tcW w:type="dxa" w:w="3120"/>
            <w:shd w:fill="F9FAFB"/>
            <w:tcMar>
              <w:top w:w="100" w:type="dxa"/>
              <w:bottom w:w="100" w:type="dxa"/>
              <w:left w:w="140" w:type="dxa"/>
              <w:right w:w="140" w:type="dxa"/>
            </w:tcMar>
          </w:tcPr>
          <w:p>
            <w:pPr>
              <w:spacing w:after="0"/>
            </w:pPr>
            <w:r>
              <w:rPr>
                <w:b/>
                <w:sz w:val="18"/>
              </w:rPr>
              <w:t>First Contact Resolution (FCR)</w:t>
            </w:r>
          </w:p>
        </w:tc>
        <w:tc>
          <w:tcPr>
            <w:tcW w:type="dxa" w:w="3120"/>
            <w:shd w:fill="F9FAFB"/>
            <w:tcMar>
              <w:top w:w="100" w:type="dxa"/>
              <w:bottom w:w="100" w:type="dxa"/>
              <w:left w:w="140" w:type="dxa"/>
              <w:right w:w="140" w:type="dxa"/>
            </w:tcMar>
          </w:tcPr>
          <w:p>
            <w:pPr>
              <w:spacing w:after="0"/>
            </w:pPr>
            <w:r>
              <w:rPr>
                <w:sz w:val="18"/>
              </w:rPr>
              <w:t>40% - 60%</w:t>
            </w:r>
          </w:p>
        </w:tc>
        <w:tc>
          <w:tcPr>
            <w:tcW w:type="dxa" w:w="3120"/>
            <w:shd w:fill="F9FAFB"/>
            <w:tcMar>
              <w:top w:w="100" w:type="dxa"/>
              <w:bottom w:w="100" w:type="dxa"/>
              <w:left w:w="140" w:type="dxa"/>
              <w:right w:w="140" w:type="dxa"/>
            </w:tcMar>
          </w:tcPr>
          <w:p>
            <w:pPr>
              <w:spacing w:after="0"/>
            </w:pPr>
            <w:r>
              <w:rPr>
                <w:sz w:val="18"/>
              </w:rPr>
              <w:t>85%+ for known application issues</w:t>
            </w:r>
          </w:p>
        </w:tc>
      </w:tr>
      <w:tr>
        <w:tc>
          <w:tcPr>
            <w:tcW w:type="dxa" w:w="3120"/>
            <w:shd w:fill="FFFFFF"/>
            <w:tcMar>
              <w:top w:w="100" w:type="dxa"/>
              <w:bottom w:w="100" w:type="dxa"/>
              <w:left w:w="140" w:type="dxa"/>
              <w:right w:w="140" w:type="dxa"/>
            </w:tcMar>
          </w:tcPr>
          <w:p>
            <w:pPr>
              <w:spacing w:after="0"/>
            </w:pPr>
            <w:r>
              <w:rPr>
                <w:b/>
                <w:sz w:val="18"/>
              </w:rPr>
              <w:t>Mean Time to Resolution (MTTR)</w:t>
            </w:r>
          </w:p>
        </w:tc>
        <w:tc>
          <w:tcPr>
            <w:tcW w:type="dxa" w:w="3120"/>
            <w:shd w:fill="FFFFFF"/>
            <w:tcMar>
              <w:top w:w="100" w:type="dxa"/>
              <w:bottom w:w="100" w:type="dxa"/>
              <w:left w:w="140" w:type="dxa"/>
              <w:right w:w="140" w:type="dxa"/>
            </w:tcMar>
          </w:tcPr>
          <w:p>
            <w:pPr>
              <w:spacing w:after="0"/>
            </w:pPr>
            <w:r>
              <w:rPr>
                <w:sz w:val="18"/>
              </w:rPr>
              <w:t>15 - 45 minutes</w:t>
            </w:r>
          </w:p>
        </w:tc>
        <w:tc>
          <w:tcPr>
            <w:tcW w:type="dxa" w:w="3120"/>
            <w:shd w:fill="FFFFFF"/>
            <w:tcMar>
              <w:top w:w="100" w:type="dxa"/>
              <w:bottom w:w="100" w:type="dxa"/>
              <w:left w:w="140" w:type="dxa"/>
              <w:right w:w="140" w:type="dxa"/>
            </w:tcMar>
          </w:tcPr>
          <w:p>
            <w:pPr>
              <w:spacing w:after="0"/>
            </w:pPr>
            <w:r>
              <w:rPr>
                <w:sz w:val="18"/>
              </w:rPr>
              <w:t>Under 30 seconds</w:t>
            </w:r>
          </w:p>
        </w:tc>
      </w:tr>
      <w:tr>
        <w:tc>
          <w:tcPr>
            <w:tcW w:type="dxa" w:w="3120"/>
            <w:shd w:fill="F9FAFB"/>
            <w:tcMar>
              <w:top w:w="100" w:type="dxa"/>
              <w:bottom w:w="100" w:type="dxa"/>
              <w:left w:w="140" w:type="dxa"/>
              <w:right w:w="140" w:type="dxa"/>
            </w:tcMar>
          </w:tcPr>
          <w:p>
            <w:pPr>
              <w:spacing w:after="0"/>
            </w:pPr>
            <w:r>
              <w:rPr>
                <w:b/>
                <w:sz w:val="18"/>
              </w:rPr>
              <w:t>Support Cost per Ticket</w:t>
            </w:r>
          </w:p>
        </w:tc>
        <w:tc>
          <w:tcPr>
            <w:tcW w:type="dxa" w:w="3120"/>
            <w:shd w:fill="F9FAFB"/>
            <w:tcMar>
              <w:top w:w="100" w:type="dxa"/>
              <w:bottom w:w="100" w:type="dxa"/>
              <w:left w:w="140" w:type="dxa"/>
              <w:right w:w="140" w:type="dxa"/>
            </w:tcMar>
          </w:tcPr>
          <w:p>
            <w:pPr>
              <w:spacing w:after="0"/>
            </w:pPr>
            <w:r>
              <w:rPr>
                <w:sz w:val="18"/>
              </w:rPr>
              <w:t>$15 - $35 per incident</w:t>
            </w:r>
          </w:p>
        </w:tc>
        <w:tc>
          <w:tcPr>
            <w:tcW w:type="dxa" w:w="3120"/>
            <w:shd w:fill="F9FAFB"/>
            <w:tcMar>
              <w:top w:w="100" w:type="dxa"/>
              <w:bottom w:w="100" w:type="dxa"/>
              <w:left w:w="140" w:type="dxa"/>
              <w:right w:w="140" w:type="dxa"/>
            </w:tcMar>
          </w:tcPr>
          <w:p>
            <w:pPr>
              <w:spacing w:after="0"/>
            </w:pPr>
            <w:r>
              <w:rPr>
                <w:sz w:val="18"/>
              </w:rPr>
              <w:t>Near $0 (automated compute only)</w:t>
            </w:r>
          </w:p>
        </w:tc>
      </w:tr>
      <w:tr>
        <w:tc>
          <w:tcPr>
            <w:tcW w:type="dxa" w:w="3120"/>
            <w:shd w:fill="FFFFFF"/>
            <w:tcMar>
              <w:top w:w="100" w:type="dxa"/>
              <w:bottom w:w="100" w:type="dxa"/>
              <w:left w:w="140" w:type="dxa"/>
              <w:right w:w="140" w:type="dxa"/>
            </w:tcMar>
          </w:tcPr>
          <w:p>
            <w:pPr>
              <w:spacing w:after="0"/>
            </w:pPr>
            <w:r>
              <w:rPr>
                <w:b/>
                <w:sz w:val="18"/>
              </w:rPr>
              <w:t>User Productivity Loss</w:t>
            </w:r>
          </w:p>
        </w:tc>
        <w:tc>
          <w:tcPr>
            <w:tcW w:type="dxa" w:w="3120"/>
            <w:shd w:fill="FFFFFF"/>
            <w:tcMar>
              <w:top w:w="100" w:type="dxa"/>
              <w:bottom w:w="100" w:type="dxa"/>
              <w:left w:w="140" w:type="dxa"/>
              <w:right w:w="140" w:type="dxa"/>
            </w:tcMar>
          </w:tcPr>
          <w:p>
            <w:pPr>
              <w:spacing w:after="0"/>
            </w:pPr>
            <w:r>
              <w:rPr>
                <w:sz w:val="18"/>
              </w:rPr>
              <w:t>High (queuing in ticket backlogs)</w:t>
            </w:r>
          </w:p>
        </w:tc>
        <w:tc>
          <w:tcPr>
            <w:tcW w:type="dxa" w:w="3120"/>
            <w:shd w:fill="FFFFFF"/>
            <w:tcMar>
              <w:top w:w="100" w:type="dxa"/>
              <w:bottom w:w="100" w:type="dxa"/>
              <w:left w:w="140" w:type="dxa"/>
              <w:right w:w="140" w:type="dxa"/>
            </w:tcMar>
          </w:tcPr>
          <w:p>
            <w:pPr>
              <w:spacing w:after="0"/>
            </w:pPr>
            <w:r>
              <w:rPr>
                <w:sz w:val="18"/>
              </w:rPr>
              <w:t>Immediate remediation in-chat</w:t>
            </w:r>
          </w:p>
        </w:tc>
      </w:tr>
      <w:tr>
        <w:tc>
          <w:tcPr>
            <w:tcW w:type="dxa" w:w="3120"/>
            <w:shd w:fill="F9FAFB"/>
            <w:tcMar>
              <w:top w:w="100" w:type="dxa"/>
              <w:bottom w:w="100" w:type="dxa"/>
              <w:left w:w="140" w:type="dxa"/>
              <w:right w:w="140" w:type="dxa"/>
            </w:tcMar>
          </w:tcPr>
          <w:p>
            <w:pPr>
              <w:spacing w:after="0"/>
            </w:pPr>
            <w:r>
              <w:rPr>
                <w:b/>
                <w:sz w:val="18"/>
              </w:rPr>
              <w:t>Data Sovereignty &amp; Compliance</w:t>
            </w:r>
          </w:p>
        </w:tc>
        <w:tc>
          <w:tcPr>
            <w:tcW w:type="dxa" w:w="3120"/>
            <w:shd w:fill="F9FAFB"/>
            <w:tcMar>
              <w:top w:w="100" w:type="dxa"/>
              <w:bottom w:w="100" w:type="dxa"/>
              <w:left w:w="140" w:type="dxa"/>
              <w:right w:w="140" w:type="dxa"/>
            </w:tcMar>
          </w:tcPr>
          <w:p>
            <w:pPr>
              <w:spacing w:after="0"/>
            </w:pPr>
            <w:r>
              <w:rPr>
                <w:sz w:val="18"/>
              </w:rPr>
              <w:t>SaaS third-party hosting risks</w:t>
            </w:r>
          </w:p>
        </w:tc>
        <w:tc>
          <w:tcPr>
            <w:tcW w:type="dxa" w:w="3120"/>
            <w:shd w:fill="F9FAFB"/>
            <w:tcMar>
              <w:top w:w="100" w:type="dxa"/>
              <w:bottom w:w="100" w:type="dxa"/>
              <w:left w:w="140" w:type="dxa"/>
              <w:right w:w="140" w:type="dxa"/>
            </w:tcMar>
          </w:tcPr>
          <w:p>
            <w:pPr>
              <w:spacing w:after="0"/>
            </w:pPr>
            <w:r>
              <w:rPr>
                <w:sz w:val="18"/>
              </w:rPr>
              <w:t>100% On-Premise / Private Cloud</w:t>
            </w:r>
          </w:p>
        </w:tc>
      </w:tr>
    </w:tbl>
    <w:p>
      <w:pPr>
        <w:spacing w:after="120"/>
      </w:pPr>
    </w:p>
    <w:p>
      <w:pPr>
        <w:keepNext/>
        <w:spacing w:before="240" w:after="80"/>
      </w:pPr>
      <w:r>
        <w:rPr>
          <w:rFonts w:ascii="Segoe UI Semibold" w:hAnsi="Segoe UI Semibold"/>
          <w:b/>
          <w:color w:val="2563EB"/>
          <w:sz w:val="26"/>
        </w:rPr>
        <w:t>Key Enterprise Advantages</w:t>
      </w:r>
    </w:p>
    <w:p>
      <w:pPr>
        <w:pStyle w:val="ListBullet"/>
        <w:spacing w:after="60" w:line="276" w:lineRule="auto"/>
      </w:pPr>
      <w:r>
        <w:rPr>
          <w:b/>
          <w:color w:val="1F2937"/>
        </w:rPr>
        <w:t xml:space="preserve">Zero SaaS Licensing Costs: </w:t>
      </w:r>
      <w:r>
        <w:rPr>
          <w:rFonts w:ascii="Segoe UI" w:hAnsi="Segoe UI"/>
          <w:sz w:val="20"/>
        </w:rPr>
        <w:t>Commercial tools (TeamViewer, AnyDesk, LogMeIn, BeyondTrust) charge steep per-technician monthly recurring fees. MeshCentral is completely free and open-source under Apache 2.0.</w:t>
      </w:r>
    </w:p>
    <w:p>
      <w:pPr>
        <w:pStyle w:val="ListBullet"/>
        <w:spacing w:after="60" w:line="276" w:lineRule="auto"/>
      </w:pPr>
      <w:r>
        <w:rPr>
          <w:b/>
          <w:color w:val="1F2937"/>
        </w:rPr>
        <w:t xml:space="preserve">Complete Data Sovereignty &amp; Audit Compliance: </w:t>
      </w:r>
      <w:r>
        <w:rPr>
          <w:rFonts w:ascii="Segoe UI" w:hAnsi="Segoe UI"/>
          <w:sz w:val="20"/>
        </w:rPr>
        <w:t>All device telemetry, session recordings, remote commands, and audit logs remain strictly within your corporate network, ensuring compliance with SOC 2, HIPAA, and GDPR.</w:t>
      </w:r>
    </w:p>
    <w:p>
      <w:pPr>
        <w:pStyle w:val="ListBullet"/>
        <w:spacing w:after="60" w:line="276" w:lineRule="auto"/>
      </w:pPr>
      <w:r>
        <w:rPr>
          <w:b/>
          <w:color w:val="1F2937"/>
        </w:rPr>
        <w:t xml:space="preserve">Zero Inbound Firewall Changes: </w:t>
      </w:r>
      <w:r>
        <w:rPr>
          <w:rFonts w:ascii="Segoe UI" w:hAnsi="Segoe UI"/>
          <w:sz w:val="20"/>
        </w:rPr>
        <w:t>The MeshCentral Agent initiates an outbound connection over standard port 443 (HTTPS/WSS). Endpoints behind corporate NAT, hotel Wi-Fi, or home routers are instantly manageable without inbound firewall holes or VPN dependencies.</w:t>
      </w:r>
    </w:p>
    <w:p>
      <w:pPr>
        <w:keepNext/>
        <w:spacing w:before="360" w:after="120"/>
      </w:pPr>
      <w:r>
        <w:rPr>
          <w:rFonts w:ascii="Segoe UI Semibold" w:hAnsi="Segoe UI Semibold"/>
          <w:b/>
          <w:color w:val="1E3A8A"/>
          <w:sz w:val="32"/>
        </w:rPr>
        <w:t>3. Human-in-the-Loop (HITL) Escalation Architecture</w:t>
      </w:r>
    </w:p>
    <w:p>
      <w:pPr>
        <w:spacing w:after="120" w:line="276" w:lineRule="auto"/>
      </w:pPr>
      <w:r>
        <w:rPr>
          <w:rFonts w:ascii="Segoe UI" w:hAnsi="Segoe UI"/>
          <w:sz w:val="20"/>
        </w:rPr>
        <w:t>A critical architectural requirement for enterprise IT is Human-in-the-Loop (HITL) governance. The AI Chatbot acts as the first line of defense, but operates with strict boundaries:</w:t>
      </w:r>
    </w:p>
    <w:p>
      <w:pPr>
        <w:pStyle w:val="ListBullet"/>
        <w:spacing w:after="60" w:line="276" w:lineRule="auto"/>
      </w:pPr>
      <w:r>
        <w:rPr>
          <w:b/>
          <w:color w:val="1F2937"/>
        </w:rPr>
        <w:t xml:space="preserve">Mandatory User Permission: </w:t>
      </w:r>
      <w:r>
        <w:rPr>
          <w:rFonts w:ascii="Segoe UI" w:hAnsi="Segoe UI"/>
          <w:sz w:val="20"/>
        </w:rPr>
        <w:t>The chatbot never runs destructive or state-altering commands (such as closing Zoom and purging local cache) without explaining the action and obtaining the user's explicit consent.</w:t>
      </w:r>
    </w:p>
    <w:p>
      <w:pPr>
        <w:pStyle w:val="ListBullet"/>
        <w:spacing w:after="60" w:line="276" w:lineRule="auto"/>
      </w:pPr>
      <w:r>
        <w:rPr>
          <w:b/>
          <w:color w:val="1F2937"/>
        </w:rPr>
        <w:t xml:space="preserve">Automated Fallback to Human Tier-2: </w:t>
      </w:r>
      <w:r>
        <w:rPr>
          <w:rFonts w:ascii="Segoe UI" w:hAnsi="Segoe UI"/>
          <w:sz w:val="20"/>
        </w:rPr>
        <w:t>If an issue cannot be resolved by knowledge base articles, or if repeated automated attempts fail, the AI gracefully packages the full diagnostic session and escalates to a human technician.</w:t>
      </w:r>
    </w:p>
    <w:p>
      <w:pPr>
        <w:keepNext/>
        <w:spacing w:before="240" w:after="80"/>
      </w:pPr>
      <w:r>
        <w:rPr>
          <w:rFonts w:ascii="Segoe UI Semibold" w:hAnsi="Segoe UI Semibold"/>
          <w:b/>
          <w:color w:val="2563EB"/>
          <w:sz w:val="26"/>
        </w:rPr>
        <w:t>Direct Deep-Linking for Instant Technician Handoff</w:t>
      </w:r>
    </w:p>
    <w:p>
      <w:pPr>
        <w:spacing w:after="120" w:line="276" w:lineRule="auto"/>
      </w:pPr>
      <w:r>
        <w:rPr>
          <w:rFonts w:ascii="Segoe UI" w:hAnsi="Segoe UI"/>
          <w:sz w:val="20"/>
        </w:rPr>
        <w:t>When an issue is escalated, the chatbot attaches direct deep-links to the support ticket (ServiceNow, Jira, Slack). The technician clicks a single URL to immediately take remote control of the exact device without navigating server menus:</w:t>
      </w:r>
    </w:p>
    <w:p>
      <w:pPr>
        <w:pStyle w:val="ListBullet"/>
        <w:spacing w:after="60" w:line="276" w:lineRule="auto"/>
      </w:pPr>
      <w:r>
        <w:rPr>
          <w:b/>
          <w:color w:val="1F2937"/>
        </w:rPr>
        <w:t xml:space="preserve">Direct Remote Desktop (KVM) Link: </w:t>
      </w:r>
      <w:r>
        <w:rPr>
          <w:rFonts w:ascii="Segoe UI" w:hAnsi="Segoe UI"/>
          <w:sz w:val="20"/>
        </w:rPr>
        <w:t>https://meshcentral.domain.com/?node=&lt;DEVICE_ID&gt;&amp;viewmode=11#desktop</w:t>
      </w:r>
    </w:p>
    <w:p>
      <w:pPr>
        <w:pStyle w:val="ListBullet"/>
        <w:spacing w:after="60" w:line="276" w:lineRule="auto"/>
      </w:pPr>
      <w:r>
        <w:rPr>
          <w:b/>
          <w:color w:val="1F2937"/>
        </w:rPr>
        <w:t xml:space="preserve">Direct Remote Terminal (PowerShell) Link: </w:t>
      </w:r>
      <w:r>
        <w:rPr>
          <w:rFonts w:ascii="Segoe UI" w:hAnsi="Segoe UI"/>
          <w:sz w:val="20"/>
        </w:rPr>
        <w:t>https://meshcentral.domain.com/?node=&lt;DEVICE_ID&gt;&amp;viewmode=11#terminal</w:t>
      </w:r>
    </w:p>
    <w:p>
      <w:pPr>
        <w:pStyle w:val="ListBullet"/>
        <w:spacing w:after="60" w:line="276" w:lineRule="auto"/>
      </w:pPr>
      <w:r>
        <w:rPr>
          <w:b/>
          <w:color w:val="1F2937"/>
        </w:rPr>
        <w:t xml:space="preserve">Direct Remote File Explorer Link: </w:t>
      </w:r>
      <w:r>
        <w:rPr>
          <w:rFonts w:ascii="Segoe UI" w:hAnsi="Segoe UI"/>
          <w:sz w:val="20"/>
        </w:rPr>
        <w:t>https://meshcentral.domain.com/?node=&lt;DEVICE_ID&gt;&amp;viewmode=11#files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Pr>
          <w:p>
            <w:pPr>
              <w:spacing w:after="40"/>
            </w:pPr>
            <w:r>
              <w:rPr>
                <w:rFonts w:ascii="Segoe UI Semibold" w:hAnsi="Segoe UI Semibold"/>
                <w:b/>
                <w:color w:val="1E3A8A"/>
                <w:sz w:val="20"/>
              </w:rPr>
              <w:t>📌 Device Sharing (Temporary Guest Links)</w:t>
              <w:br/>
            </w:r>
            <w:r>
              <w:rPr>
                <w:rFonts w:ascii="Segoe UI" w:hAnsi="Segoe UI"/>
                <w:color w:val="1F2937"/>
                <w:sz w:val="19"/>
              </w:rPr>
              <w:t>MeshCentral supports cryptographically signed, expiring guest sharing links (e.g., valid for 60 minutes). This allows Tier-1 outsourced contractors or third-party specialists to access a specific machine's remote desktop without having full administrator accounts on the MeshCentral server.</w:t>
            </w:r>
          </w:p>
        </w:tc>
      </w:tr>
    </w:tbl>
    <w:p>
      <w:pPr>
        <w:spacing w:after="80"/>
      </w:pPr>
    </w:p>
    <w:p>
      <w:pPr>
        <w:keepNext/>
        <w:spacing w:before="360" w:after="120"/>
      </w:pPr>
      <w:r>
        <w:rPr>
          <w:rFonts w:ascii="Segoe UI Semibold" w:hAnsi="Segoe UI Semibold"/>
          <w:b/>
          <w:color w:val="1E3A8A"/>
          <w:sz w:val="32"/>
        </w:rPr>
        <w:t>4. Endpoint Connection Mechanics (Agent to Server)</w:t>
      </w:r>
    </w:p>
    <w:p>
      <w:pPr>
        <w:spacing w:after="120" w:line="276" w:lineRule="auto"/>
      </w:pPr>
      <w:r>
        <w:rPr>
          <w:rFonts w:ascii="Segoe UI" w:hAnsi="Segoe UI"/>
          <w:sz w:val="20"/>
        </w:rPr>
        <w:t>Understanding how MeshAgent connects and authenticates is fundamental to network security and troubleshooting:</w:t>
      </w:r>
    </w:p>
    <w:p>
      <w:pPr>
        <w:keepNext/>
        <w:spacing w:before="240" w:after="80"/>
      </w:pPr>
      <w:r>
        <w:rPr>
          <w:rFonts w:ascii="Segoe UI Semibold" w:hAnsi="Segoe UI Semibold"/>
          <w:b/>
          <w:color w:val="2563EB"/>
          <w:sz w:val="26"/>
        </w:rPr>
        <w:t>Step-by-Step Connection Lifecycle</w:t>
      </w:r>
    </w:p>
    <w:p>
      <w:pPr>
        <w:pStyle w:val="ListBullet"/>
        <w:spacing w:after="60" w:line="276" w:lineRule="auto"/>
      </w:pPr>
      <w:r>
        <w:rPr>
          <w:b/>
          <w:color w:val="1F2937"/>
        </w:rPr>
        <w:t xml:space="preserve">1. Native Service Installation: </w:t>
      </w:r>
      <w:r>
        <w:rPr>
          <w:rFonts w:ascii="Segoe UI" w:hAnsi="Segoe UI"/>
          <w:sz w:val="20"/>
        </w:rPr>
        <w:t>MeshAgent.exe installs as a background Windows Service running under the NT AUTHORITY\SYSTEM account. Its configuration is stored in meshagent.msh.</w:t>
      </w:r>
    </w:p>
    <w:p>
      <w:pPr>
        <w:pStyle w:val="ListBullet"/>
        <w:spacing w:after="60" w:line="276" w:lineRule="auto"/>
      </w:pPr>
      <w:r>
        <w:rPr>
          <w:b/>
          <w:color w:val="1F2937"/>
        </w:rPr>
        <w:t xml:space="preserve">2. Certificate Fingerprint Pinning: </w:t>
      </w:r>
      <w:r>
        <w:rPr>
          <w:rFonts w:ascii="Segoe UI" w:hAnsi="Segoe UI"/>
          <w:sz w:val="20"/>
        </w:rPr>
        <w:t>meshagent.msh contains the ServerID (the SHA-384 cryptographic hash of the MeshCentral server's TLS certificate). During connection setup, the agent verifies this hash to prevent Man-in-the-Middle (MITM) attacks.</w:t>
      </w:r>
    </w:p>
    <w:p>
      <w:pPr>
        <w:pStyle w:val="ListBullet"/>
        <w:spacing w:after="60" w:line="276" w:lineRule="auto"/>
      </w:pPr>
      <w:r>
        <w:rPr>
          <w:b/>
          <w:color w:val="1F2937"/>
        </w:rPr>
        <w:t xml:space="preserve">3. Outbound HTTPS / WebSocket Handshake: </w:t>
      </w:r>
      <w:r>
        <w:rPr>
          <w:rFonts w:ascii="Segoe UI" w:hAnsi="Segoe UI"/>
          <w:sz w:val="20"/>
        </w:rPr>
        <w:t>The agent establishes an outbound TCP connection to https://meshcentral:443 and issues an HTTP 'Upgrade: websocket' request to /agent.ashx.</w:t>
      </w:r>
    </w:p>
    <w:p>
      <w:pPr>
        <w:pStyle w:val="ListBullet"/>
        <w:spacing w:after="60" w:line="276" w:lineRule="auto"/>
      </w:pPr>
      <w:r>
        <w:rPr>
          <w:b/>
          <w:color w:val="1F2937"/>
        </w:rPr>
        <w:t xml:space="preserve">4. Mutual Node Identification: </w:t>
      </w:r>
      <w:r>
        <w:rPr>
          <w:rFonts w:ascii="Segoe UI" w:hAnsi="Segoe UI"/>
          <w:sz w:val="20"/>
        </w:rPr>
        <w:t>The server recognizes the device by its unique Node ID (e.g., node//LWtaliQmmZYbyS1ftCdWVGx6SaAJLuVS8fiirJVulVDI6KixTrIY7oJgVL9nvEo1), marks it online, and registers its socket in an in-memory routing table.</w:t>
      </w:r>
    </w:p>
    <w:p>
      <w:pPr>
        <w:pStyle w:val="ListBullet"/>
        <w:spacing w:after="60" w:line="276" w:lineRule="auto"/>
      </w:pPr>
      <w:r>
        <w:rPr>
          <w:b/>
          <w:color w:val="1F2937"/>
        </w:rPr>
        <w:t xml:space="preserve">5. Heartbeat &amp; Auto-Reconnect: </w:t>
      </w:r>
      <w:r>
        <w:rPr>
          <w:rFonts w:ascii="Segoe UI" w:hAnsi="Segoe UI"/>
          <w:sz w:val="20"/>
        </w:rPr>
        <w:t>The connection is kept alive 24/7 with periodic WebSocket ping/pong frames. If connectivity drops, exponential backoff reconnects automatically.</w:t>
      </w:r>
    </w:p>
    <w:p>
      <w:pPr>
        <w:keepNext/>
        <w:spacing w:before="360" w:after="120"/>
      </w:pPr>
      <w:r>
        <w:rPr>
          <w:rFonts w:ascii="Segoe UI Semibold" w:hAnsi="Segoe UI Semibold"/>
          <w:b/>
          <w:color w:val="1E3A8A"/>
          <w:sz w:val="32"/>
        </w:rPr>
        <w:t>5. Request &amp; Response Payloads (End-to-End Data Contracts)</w:t>
      </w:r>
    </w:p>
    <w:p>
      <w:pPr>
        <w:spacing w:after="120" w:line="276" w:lineRule="auto"/>
      </w:pPr>
      <w:r>
        <w:rPr>
          <w:rFonts w:ascii="Segoe UI" w:hAnsi="Segoe UI"/>
          <w:sz w:val="20"/>
        </w:rPr>
        <w:t>Below are the actual data contracts and payloads exchanged across each tier of the system during an automated Zoom cache remediation:</w:t>
      </w:r>
    </w:p>
    <w:p>
      <w:pPr>
        <w:keepNext/>
        <w:spacing w:before="240" w:after="80"/>
      </w:pPr>
      <w:r>
        <w:rPr>
          <w:rFonts w:ascii="Segoe UI Semibold" w:hAnsi="Segoe UI Semibold"/>
          <w:b/>
          <w:color w:val="2563EB"/>
          <w:sz w:val="26"/>
        </w:rPr>
        <w:t>Contract A: Frontend to Express API (POST /api/chat)</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line="252" w:lineRule="auto"/>
            </w:pPr>
            <w:r>
              <w:rPr>
                <w:rFonts w:ascii="Consolas" w:hAnsi="Consolas"/>
                <w:color w:val="38BDF8"/>
                <w:sz w:val="17"/>
              </w:rPr>
              <w:t>{</w:t>
              <w:br/>
              <w:t xml:space="preserve">  "messages": [</w:t>
              <w:br/>
              <w:t xml:space="preserve">    { "role": "user", "content": "Zoom is freezing during meetings" },</w:t>
              <w:br/>
              <w:t xml:space="preserve">    { "role": "assistant", "content": "I can clear your Zoom cache remotely. Would you like me to proceed?" },</w:t>
              <w:br/>
              <w:t xml:space="preserve">    { "role": "user", "content": "Yes, AVDGLS5-4 is my device. Please clear the cache now." }</w:t>
              <w:br/>
              <w:t xml:space="preserve">  ],</w:t>
              <w:br/>
              <w:t xml:space="preserve">  "stream": true</w:t>
              <w:br/>
              <w:t>}</w:t>
            </w:r>
          </w:p>
        </w:tc>
      </w:tr>
    </w:tbl>
    <w:p>
      <w:pPr>
        <w:spacing w:after="80"/>
      </w:pPr>
    </w:p>
    <w:p>
      <w:pPr>
        <w:keepNext/>
        <w:spacing w:before="240" w:after="80"/>
      </w:pPr>
      <w:r>
        <w:rPr>
          <w:rFonts w:ascii="Segoe UI Semibold" w:hAnsi="Segoe UI Semibold"/>
          <w:b/>
          <w:color w:val="2563EB"/>
          <w:sz w:val="26"/>
        </w:rPr>
        <w:t>Contract B: Gemini Function Calling Schema (Express to Gemini)</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line="252" w:lineRule="auto"/>
            </w:pPr>
            <w:r>
              <w:rPr>
                <w:rFonts w:ascii="Consolas" w:hAnsi="Consolas"/>
                <w:color w:val="38BDF8"/>
                <w:sz w:val="17"/>
              </w:rPr>
              <w:t>{</w:t>
              <w:br/>
              <w:t xml:space="preserve">  "name": "clear_zoom_cache",</w:t>
              <w:br/>
              <w:t xml:space="preserve">  "description": "Clear Zoom application cache on a remote device via MeshCentral.",</w:t>
              <w:br/>
              <w:t xml:space="preserve">  "parameters": {</w:t>
              <w:br/>
              <w:t xml:space="preserve">    "type": "OBJECT",</w:t>
              <w:br/>
              <w:t xml:space="preserve">    "properties": {</w:t>
              <w:br/>
              <w:t xml:space="preserve">      "device_id": {</w:t>
              <w:br/>
              <w:t xml:space="preserve">        "type": "STRING",</w:t>
              <w:br/>
              <w:t xml:space="preserve">        "description": "The device ID or device name to clear Zoom cache on"</w:t>
              <w:br/>
              <w:t xml:space="preserve">      }</w:t>
              <w:br/>
              <w:t xml:space="preserve">    },</w:t>
              <w:br/>
              <w:t xml:space="preserve">    "required": ["device_id"]</w:t>
              <w:br/>
              <w:t xml:space="preserve">  }</w:t>
              <w:br/>
              <w:t>}</w:t>
            </w:r>
          </w:p>
        </w:tc>
      </w:tr>
    </w:tbl>
    <w:p>
      <w:pPr>
        <w:spacing w:after="80"/>
      </w:pPr>
    </w:p>
    <w:p>
      <w:pPr>
        <w:keepNext/>
        <w:spacing w:before="240" w:after="80"/>
      </w:pPr>
      <w:r>
        <w:rPr>
          <w:rFonts w:ascii="Segoe UI Semibold" w:hAnsi="Segoe UI Semibold"/>
          <w:b/>
          <w:color w:val="2563EB"/>
          <w:sz w:val="26"/>
        </w:rPr>
        <w:t>Contract C: Backend CLI Command Execution (Express to meshctrl.js)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line="252" w:lineRule="auto"/>
            </w:pPr>
            <w:r>
              <w:rPr>
                <w:rFonts w:ascii="Consolas" w:hAnsi="Consolas"/>
                <w:color w:val="38BDF8"/>
                <w:sz w:val="17"/>
              </w:rPr>
              <w:t>node meshctrl.js RunCommand \</w:t>
              <w:br/>
              <w:t xml:space="preserve">  --url wss://localhost:443 \</w:t>
              <w:br/>
              <w:t xml:space="preserve">  --loginuser admin-sd \</w:t>
              <w:br/>
              <w:t xml:space="preserve">  --loginpass "admin@SD1" \</w:t>
              <w:br/>
              <w:t xml:space="preserve">  --id "node//LWtaliQmmZYbyS1ftCdWVGx6SaAJLuVS8fiirJVulVDI6KixTrIY7oJgVL9nvEo1" \</w:t>
              <w:br/>
              <w:t xml:space="preserve">  --run "$results = @(); ...; $results -join '; '" \</w:t>
              <w:br/>
              <w:t xml:space="preserve">  --powershell \</w:t>
              <w:br/>
              <w:t xml:space="preserve">  --reply</w:t>
            </w:r>
          </w:p>
        </w:tc>
      </w:tr>
    </w:tbl>
    <w:p>
      <w:pPr>
        <w:spacing w:after="80"/>
      </w:pPr>
    </w:p>
    <w:p>
      <w:pPr>
        <w:keepNext/>
        <w:spacing w:before="240" w:after="80"/>
      </w:pPr>
      <w:r>
        <w:rPr>
          <w:rFonts w:ascii="Segoe UI Semibold" w:hAnsi="Segoe UI Semibold"/>
          <w:b/>
          <w:color w:val="2563EB"/>
          <w:sz w:val="26"/>
        </w:rPr>
        <w:t>Contract D: MeshAgent Output Execution Result (Agent to Server)</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line="252" w:lineRule="auto"/>
            </w:pPr>
            <w:r>
              <w:rPr>
                <w:rFonts w:ascii="Consolas" w:hAnsi="Consolas"/>
                <w:color w:val="38BDF8"/>
                <w:sz w:val="17"/>
              </w:rPr>
              <w:t>No Zoom processes were running; Cleared Roaming Zoom cache for SANDEEPDUBEY (370 items); Cleared Local Zoom cache for SANDEEPDUBEY (2 items)</w:t>
            </w:r>
          </w:p>
        </w:tc>
      </w:tr>
    </w:tbl>
    <w:p>
      <w:pPr>
        <w:spacing w:after="80"/>
      </w:pPr>
    </w:p>
    <w:p>
      <w:pPr>
        <w:keepNext/>
        <w:spacing w:before="240" w:after="80"/>
      </w:pPr>
      <w:r>
        <w:rPr>
          <w:rFonts w:ascii="Segoe UI Semibold" w:hAnsi="Segoe UI Semibold"/>
          <w:b/>
          <w:color w:val="2563EB"/>
          <w:sz w:val="26"/>
        </w:rPr>
        <w:t>Contract E: Streamed SSE Chunks (Express to Next.js Frontend)</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line="252" w:lineRule="auto"/>
            </w:pPr>
            <w:r>
              <w:rPr>
                <w:rFonts w:ascii="Consolas" w:hAnsi="Consolas"/>
                <w:color w:val="38BDF8"/>
                <w:sz w:val="17"/>
              </w:rPr>
              <w:t>data: {"type":"status","message":"Analyzing issue..."}</w:t>
              <w:br/>
              <w:t>data: {"type":"status","message":"Executing remote action on device..."}</w:t>
              <w:br/>
              <w:t>data: {"type":"chunk","text":"I have cleared the Zoom cache on your device, **AVDGLS5-4**."}</w:t>
              <w:br/>
              <w:t>data: {"type":"chunk","text":"\n\n370 temporary files were purged. Please log back into Zoom."}</w:t>
              <w:br/>
              <w:t>data: {"type":"done"}</w:t>
              <w:br/>
              <w:t>data: [DONE]</w:t>
            </w:r>
          </w:p>
        </w:tc>
      </w:tr>
    </w:tbl>
    <w:p>
      <w:pPr>
        <w:spacing w:after="80"/>
      </w:pPr>
    </w:p>
    <w:p>
      <w:pPr>
        <w:keepNext/>
        <w:spacing w:before="360" w:after="120"/>
      </w:pPr>
      <w:r>
        <w:rPr>
          <w:rFonts w:ascii="Segoe UI Semibold" w:hAnsi="Segoe UI Semibold"/>
          <w:b/>
          <w:color w:val="1E3A8A"/>
          <w:sz w:val="32"/>
        </w:rPr>
        <w:t>6. Chatbot Integration Architecture (Our Implementation)</w:t>
      </w:r>
    </w:p>
    <w:p>
      <w:pPr>
        <w:spacing w:after="120" w:line="276" w:lineRule="auto"/>
      </w:pPr>
      <w:r>
        <w:rPr>
          <w:rFonts w:ascii="Segoe UI" w:hAnsi="Segoe UI"/>
          <w:sz w:val="20"/>
        </w:rPr>
        <w:t>Our proof-of-concept codebase is cleanly partitioned into decoupled layers:</w:t>
      </w:r>
    </w:p>
    <w:p>
      <w:pPr>
        <w:pStyle w:val="ListBullet"/>
        <w:spacing w:after="60" w:line="276" w:lineRule="auto"/>
      </w:pPr>
      <w:r>
        <w:rPr>
          <w:b/>
          <w:color w:val="1F2937"/>
        </w:rPr>
        <w:t xml:space="preserve">frontend/ (Next.js 16 App Router): </w:t>
      </w:r>
      <w:r>
        <w:rPr>
          <w:rFonts w:ascii="Segoe UI" w:hAnsi="Segoe UI"/>
          <w:sz w:val="20"/>
        </w:rPr>
        <w:t>Vanilla CSS design system with light/dark theme persistence, custom SVG icons, SSE stream parser, and a 60fps typewriter queue for fluid character-by-character rendering.</w:t>
      </w:r>
    </w:p>
    <w:p>
      <w:pPr>
        <w:pStyle w:val="ListBullet"/>
        <w:spacing w:after="60" w:line="276" w:lineRule="auto"/>
      </w:pPr>
      <w:r>
        <w:rPr>
          <w:b/>
          <w:color w:val="1F2937"/>
        </w:rPr>
        <w:t xml:space="preserve">server.js (Express &amp; Gemini Loop): </w:t>
      </w:r>
      <w:r>
        <w:rPr>
          <w:rFonts w:ascii="Segoe UI" w:hAnsi="Segoe UI"/>
          <w:sz w:val="20"/>
        </w:rPr>
        <w:t>Manages chat history sanitation, tool execution iteration loops, and Server-Sent Events (SSE) streaming.</w:t>
      </w:r>
    </w:p>
    <w:p>
      <w:pPr>
        <w:pStyle w:val="ListBullet"/>
        <w:spacing w:after="60" w:line="276" w:lineRule="auto"/>
      </w:pPr>
      <w:r>
        <w:rPr>
          <w:b/>
          <w:color w:val="1F2937"/>
        </w:rPr>
        <w:t xml:space="preserve">tools.js (MeshCentral Bridge &amp; Dispatcher): </w:t>
      </w:r>
      <w:r>
        <w:rPr>
          <w:rFonts w:ascii="Segoe UI" w:hAnsi="Segoe UI"/>
          <w:sz w:val="20"/>
        </w:rPr>
        <w:t>Contains the 4 Gemini function schemas, runMeshCtrl CLI wrapper, and cross-user PowerShell scripts that target real user profiles under C:\Users.</w:t>
      </w:r>
    </w:p>
    <w:p>
      <w:pPr>
        <w:pStyle w:val="ListBullet"/>
        <w:spacing w:after="60" w:line="276" w:lineRule="auto"/>
      </w:pPr>
      <w:r>
        <w:rPr>
          <w:b/>
          <w:color w:val="1F2937"/>
        </w:rPr>
        <w:t xml:space="preserve">prompts.js (AI Persona &amp; Guardrails): </w:t>
      </w:r>
      <w:r>
        <w:rPr>
          <w:rFonts w:ascii="Segoe UI" w:hAnsi="Segoe UI"/>
          <w:sz w:val="20"/>
        </w:rPr>
        <w:t>Defines the IT Helpdesk persona, enforces the Knowledge Base search-first rule, and mandates explicit user consent before taking remote actions.</w:t>
      </w:r>
    </w:p>
    <w:p>
      <w:pPr>
        <w:pStyle w:val="ListBullet"/>
        <w:spacing w:after="60" w:line="276" w:lineRule="auto"/>
      </w:pPr>
      <w:r>
        <w:rPr>
          <w:b/>
          <w:color w:val="1F2937"/>
        </w:rPr>
        <w:t xml:space="preserve">knowledge-base/ (Local JSON Articles): </w:t>
      </w:r>
      <w:r>
        <w:rPr>
          <w:rFonts w:ascii="Segoe UI" w:hAnsi="Segoe UI"/>
          <w:sz w:val="20"/>
        </w:rPr>
        <w:t>Structured articles mapping symptoms, troubleshooting steps, and automation flags for Zoom and other enterprise applications.</w:t>
      </w:r>
    </w:p>
    <w:p>
      <w:pPr>
        <w:keepNext/>
        <w:spacing w:before="360" w:after="120"/>
      </w:pPr>
      <w:r>
        <w:rPr>
          <w:rFonts w:ascii="Segoe UI Semibold" w:hAnsi="Segoe UI Semibold"/>
          <w:b/>
          <w:color w:val="1E3A8A"/>
          <w:sz w:val="32"/>
        </w:rPr>
        <w:t>7. Comprehensive Comparison: Alternative Open-Source Platforms</w:t>
      </w:r>
    </w:p>
    <w:p>
      <w:pPr>
        <w:spacing w:after="120" w:line="276" w:lineRule="auto"/>
      </w:pPr>
      <w:r>
        <w:rPr>
          <w:rFonts w:ascii="Segoe UI" w:hAnsi="Segoe UI"/>
          <w:sz w:val="20"/>
        </w:rPr>
        <w:t>If evaluating alternatives to MeshCentral for remote management and IT automation, the table and detailed breakdowns below summarize the leading open-source options: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E3A8A"/>
            <w:tcMar>
              <w:top w:w="120" w:type="dxa"/>
              <w:bottom w:w="120" w:type="dxa"/>
              <w:left w:w="120" w:type="dxa"/>
              <w:right w:w="120" w:type="dxa"/>
            </w:tcMar>
          </w:tcPr>
          <w:p>
            <w:pPr>
              <w:spacing w:after="0"/>
            </w:pPr>
            <w:r>
              <w:rPr>
                <w:b/>
                <w:color w:val="FFFFFF"/>
                <w:sz w:val="17"/>
              </w:rPr>
              <w:t>Platform</w:t>
            </w:r>
          </w:p>
        </w:tc>
        <w:tc>
          <w:tcPr>
            <w:tcW w:type="dxa" w:w="1872"/>
            <w:shd w:fill="1E3A8A"/>
            <w:tcMar>
              <w:top w:w="120" w:type="dxa"/>
              <w:bottom w:w="120" w:type="dxa"/>
              <w:left w:w="120" w:type="dxa"/>
              <w:right w:w="120" w:type="dxa"/>
            </w:tcMar>
          </w:tcPr>
          <w:p>
            <w:pPr>
              <w:spacing w:after="0"/>
            </w:pPr>
            <w:r>
              <w:rPr>
                <w:b/>
                <w:color w:val="FFFFFF"/>
                <w:sz w:val="17"/>
              </w:rPr>
              <w:t>Primary Architectural Focus</w:t>
            </w:r>
          </w:p>
        </w:tc>
        <w:tc>
          <w:tcPr>
            <w:tcW w:type="dxa" w:w="1872"/>
            <w:shd w:fill="1E3A8A"/>
            <w:tcMar>
              <w:top w:w="120" w:type="dxa"/>
              <w:bottom w:w="120" w:type="dxa"/>
              <w:left w:w="120" w:type="dxa"/>
              <w:right w:w="120" w:type="dxa"/>
            </w:tcMar>
          </w:tcPr>
          <w:p>
            <w:pPr>
              <w:spacing w:after="0"/>
            </w:pPr>
            <w:r>
              <w:rPr>
                <w:b/>
                <w:color w:val="FFFFFF"/>
                <w:sz w:val="17"/>
              </w:rPr>
              <w:t>Agent Footprint</w:t>
            </w:r>
          </w:p>
        </w:tc>
        <w:tc>
          <w:tcPr>
            <w:tcW w:type="dxa" w:w="1872"/>
            <w:shd w:fill="1E3A8A"/>
            <w:tcMar>
              <w:top w:w="120" w:type="dxa"/>
              <w:bottom w:w="120" w:type="dxa"/>
              <w:left w:w="120" w:type="dxa"/>
              <w:right w:w="120" w:type="dxa"/>
            </w:tcMar>
          </w:tcPr>
          <w:p>
            <w:pPr>
              <w:spacing w:after="0"/>
            </w:pPr>
            <w:r>
              <w:rPr>
                <w:b/>
                <w:color w:val="FFFFFF"/>
                <w:sz w:val="17"/>
              </w:rPr>
              <w:t>NAT / Firewall Traversal</w:t>
            </w:r>
          </w:p>
        </w:tc>
        <w:tc>
          <w:tcPr>
            <w:tcW w:type="dxa" w:w="1872"/>
            <w:shd w:fill="1E3A8A"/>
            <w:tcMar>
              <w:top w:w="120" w:type="dxa"/>
              <w:bottom w:w="120" w:type="dxa"/>
              <w:left w:w="120" w:type="dxa"/>
              <w:right w:w="120" w:type="dxa"/>
            </w:tcMar>
          </w:tcPr>
          <w:p>
            <w:pPr>
              <w:spacing w:after="0"/>
            </w:pPr>
            <w:r>
              <w:rPr>
                <w:b/>
                <w:color w:val="FFFFFF"/>
                <w:sz w:val="17"/>
              </w:rPr>
              <w:t>AI Helpdesk Suitability</w:t>
            </w:r>
          </w:p>
        </w:tc>
      </w:tr>
      <w:tr>
        <w:tc>
          <w:tcPr>
            <w:tcW w:type="dxa" w:w="1872"/>
            <w:shd w:fill="F9FAFB"/>
            <w:tcMar>
              <w:top w:w="100" w:type="dxa"/>
              <w:bottom w:w="100" w:type="dxa"/>
              <w:left w:w="120" w:type="dxa"/>
              <w:right w:w="120" w:type="dxa"/>
            </w:tcMar>
          </w:tcPr>
          <w:p>
            <w:pPr>
              <w:spacing w:after="0"/>
            </w:pPr>
            <w:r>
              <w:rPr>
                <w:b/>
                <w:sz w:val="16"/>
              </w:rPr>
              <w:t>MeshCentral</w:t>
            </w:r>
          </w:p>
        </w:tc>
        <w:tc>
          <w:tcPr>
            <w:tcW w:type="dxa" w:w="1872"/>
            <w:shd w:fill="F9FAFB"/>
            <w:tcMar>
              <w:top w:w="100" w:type="dxa"/>
              <w:bottom w:w="100" w:type="dxa"/>
              <w:left w:w="120" w:type="dxa"/>
              <w:right w:w="120" w:type="dxa"/>
            </w:tcMar>
          </w:tcPr>
          <w:p>
            <w:pPr>
              <w:spacing w:after="0"/>
            </w:pPr>
            <w:r>
              <w:rPr>
                <w:sz w:val="16"/>
              </w:rPr>
              <w:t>Full Remote Management, Headless Scripting &amp; AMT</w:t>
            </w:r>
          </w:p>
        </w:tc>
        <w:tc>
          <w:tcPr>
            <w:tcW w:type="dxa" w:w="1872"/>
            <w:shd w:fill="F9FAFB"/>
            <w:tcMar>
              <w:top w:w="100" w:type="dxa"/>
              <w:bottom w:w="100" w:type="dxa"/>
              <w:left w:w="120" w:type="dxa"/>
              <w:right w:w="120" w:type="dxa"/>
            </w:tcMar>
          </w:tcPr>
          <w:p>
            <w:pPr>
              <w:spacing w:after="0"/>
            </w:pPr>
            <w:r>
              <w:rPr>
                <w:sz w:val="16"/>
              </w:rPr>
              <w:t>MeshAgent (C Native Service)</w:t>
            </w:r>
          </w:p>
        </w:tc>
        <w:tc>
          <w:tcPr>
            <w:tcW w:type="dxa" w:w="1872"/>
            <w:shd w:fill="F9FAFB"/>
            <w:tcMar>
              <w:top w:w="100" w:type="dxa"/>
              <w:bottom w:w="100" w:type="dxa"/>
              <w:left w:w="120" w:type="dxa"/>
              <w:right w:w="120" w:type="dxa"/>
            </w:tcMar>
          </w:tcPr>
          <w:p>
            <w:pPr>
              <w:spacing w:after="0"/>
            </w:pPr>
            <w:r>
              <w:rPr>
                <w:sz w:val="16"/>
              </w:rPr>
              <w:t>Automatic (Outbound WSS)</w:t>
            </w:r>
          </w:p>
        </w:tc>
        <w:tc>
          <w:tcPr>
            <w:tcW w:type="dxa" w:w="1872"/>
            <w:shd w:fill="F9FAFB"/>
            <w:tcMar>
              <w:top w:w="100" w:type="dxa"/>
              <w:bottom w:w="100" w:type="dxa"/>
              <w:left w:w="120" w:type="dxa"/>
              <w:right w:w="120" w:type="dxa"/>
            </w:tcMar>
          </w:tcPr>
          <w:p>
            <w:pPr>
              <w:spacing w:after="0"/>
            </w:pPr>
            <w:r>
              <w:rPr>
                <w:sz w:val="16"/>
              </w:rPr>
              <w:t>Exceptional (Direct CLI/API)</w:t>
            </w:r>
          </w:p>
        </w:tc>
      </w:tr>
      <w:tr>
        <w:tc>
          <w:tcPr>
            <w:tcW w:type="dxa" w:w="1872"/>
            <w:shd w:fill="FFFFFF"/>
            <w:tcMar>
              <w:top w:w="100" w:type="dxa"/>
              <w:bottom w:w="100" w:type="dxa"/>
              <w:left w:w="120" w:type="dxa"/>
              <w:right w:w="120" w:type="dxa"/>
            </w:tcMar>
          </w:tcPr>
          <w:p>
            <w:pPr>
              <w:spacing w:after="0"/>
            </w:pPr>
            <w:r>
              <w:rPr>
                <w:b/>
                <w:sz w:val="16"/>
              </w:rPr>
              <w:t>RustDesk</w:t>
            </w:r>
          </w:p>
        </w:tc>
        <w:tc>
          <w:tcPr>
            <w:tcW w:type="dxa" w:w="1872"/>
            <w:shd w:fill="FFFFFF"/>
            <w:tcMar>
              <w:top w:w="100" w:type="dxa"/>
              <w:bottom w:w="100" w:type="dxa"/>
              <w:left w:w="120" w:type="dxa"/>
              <w:right w:w="120" w:type="dxa"/>
            </w:tcMar>
          </w:tcPr>
          <w:p>
            <w:pPr>
              <w:spacing w:after="0"/>
            </w:pPr>
            <w:r>
              <w:rPr>
                <w:sz w:val="16"/>
              </w:rPr>
              <w:t>Remote Desktop Screen Sharing (TeamViewer Alt)</w:t>
            </w:r>
          </w:p>
        </w:tc>
        <w:tc>
          <w:tcPr>
            <w:tcW w:type="dxa" w:w="1872"/>
            <w:shd w:fill="FFFFFF"/>
            <w:tcMar>
              <w:top w:w="100" w:type="dxa"/>
              <w:bottom w:w="100" w:type="dxa"/>
              <w:left w:w="120" w:type="dxa"/>
              <w:right w:w="120" w:type="dxa"/>
            </w:tcMar>
          </w:tcPr>
          <w:p>
            <w:pPr>
              <w:spacing w:after="0"/>
            </w:pPr>
            <w:r>
              <w:rPr>
                <w:sz w:val="16"/>
              </w:rPr>
              <w:t>RustDesk Client (Rust)</w:t>
            </w:r>
          </w:p>
        </w:tc>
        <w:tc>
          <w:tcPr>
            <w:tcW w:type="dxa" w:w="1872"/>
            <w:shd w:fill="FFFFFF"/>
            <w:tcMar>
              <w:top w:w="100" w:type="dxa"/>
              <w:bottom w:w="100" w:type="dxa"/>
              <w:left w:w="120" w:type="dxa"/>
              <w:right w:w="120" w:type="dxa"/>
            </w:tcMar>
          </w:tcPr>
          <w:p>
            <w:pPr>
              <w:spacing w:after="0"/>
            </w:pPr>
            <w:r>
              <w:rPr>
                <w:sz w:val="16"/>
              </w:rPr>
              <w:t>Automatic (P2P + Relay)</w:t>
            </w:r>
          </w:p>
        </w:tc>
        <w:tc>
          <w:tcPr>
            <w:tcW w:type="dxa" w:w="1872"/>
            <w:shd w:fill="FFFFFF"/>
            <w:tcMar>
              <w:top w:w="100" w:type="dxa"/>
              <w:bottom w:w="100" w:type="dxa"/>
              <w:left w:w="120" w:type="dxa"/>
              <w:right w:w="120" w:type="dxa"/>
            </w:tcMar>
          </w:tcPr>
          <w:p>
            <w:pPr>
              <w:spacing w:after="0"/>
            </w:pPr>
            <w:r>
              <w:rPr>
                <w:sz w:val="16"/>
              </w:rPr>
              <w:t>Moderate (Screen-focused)</w:t>
            </w:r>
          </w:p>
        </w:tc>
      </w:tr>
      <w:tr>
        <w:tc>
          <w:tcPr>
            <w:tcW w:type="dxa" w:w="1872"/>
            <w:shd w:fill="F9FAFB"/>
            <w:tcMar>
              <w:top w:w="100" w:type="dxa"/>
              <w:bottom w:w="100" w:type="dxa"/>
              <w:left w:w="120" w:type="dxa"/>
              <w:right w:w="120" w:type="dxa"/>
            </w:tcMar>
          </w:tcPr>
          <w:p>
            <w:pPr>
              <w:spacing w:after="0"/>
            </w:pPr>
            <w:r>
              <w:rPr>
                <w:b/>
                <w:sz w:val="16"/>
              </w:rPr>
              <w:t>Tactical RMM</w:t>
            </w:r>
          </w:p>
        </w:tc>
        <w:tc>
          <w:tcPr>
            <w:tcW w:type="dxa" w:w="1872"/>
            <w:shd w:fill="F9FAFB"/>
            <w:tcMar>
              <w:top w:w="100" w:type="dxa"/>
              <w:bottom w:w="100" w:type="dxa"/>
              <w:left w:w="120" w:type="dxa"/>
              <w:right w:w="120" w:type="dxa"/>
            </w:tcMar>
          </w:tcPr>
          <w:p>
            <w:pPr>
              <w:spacing w:after="0"/>
            </w:pPr>
            <w:r>
              <w:rPr>
                <w:sz w:val="16"/>
              </w:rPr>
              <w:t>Full MSP Remote Monitoring &amp; Management</w:t>
            </w:r>
          </w:p>
        </w:tc>
        <w:tc>
          <w:tcPr>
            <w:tcW w:type="dxa" w:w="1872"/>
            <w:shd w:fill="F9FAFB"/>
            <w:tcMar>
              <w:top w:w="100" w:type="dxa"/>
              <w:bottom w:w="100" w:type="dxa"/>
              <w:left w:w="120" w:type="dxa"/>
              <w:right w:w="120" w:type="dxa"/>
            </w:tcMar>
          </w:tcPr>
          <w:p>
            <w:pPr>
              <w:spacing w:after="0"/>
            </w:pPr>
            <w:r>
              <w:rPr>
                <w:sz w:val="16"/>
              </w:rPr>
              <w:t>Tactical Agent (Go) + MeshAgent</w:t>
            </w:r>
          </w:p>
        </w:tc>
        <w:tc>
          <w:tcPr>
            <w:tcW w:type="dxa" w:w="1872"/>
            <w:shd w:fill="F9FAFB"/>
            <w:tcMar>
              <w:top w:w="100" w:type="dxa"/>
              <w:bottom w:w="100" w:type="dxa"/>
              <w:left w:w="120" w:type="dxa"/>
              <w:right w:w="120" w:type="dxa"/>
            </w:tcMar>
          </w:tcPr>
          <w:p>
            <w:pPr>
              <w:spacing w:after="0"/>
            </w:pPr>
            <w:r>
              <w:rPr>
                <w:sz w:val="16"/>
              </w:rPr>
              <w:t>Automatic (Embeds MeshCentral)</w:t>
            </w:r>
          </w:p>
        </w:tc>
        <w:tc>
          <w:tcPr>
            <w:tcW w:type="dxa" w:w="1872"/>
            <w:shd w:fill="F9FAFB"/>
            <w:tcMar>
              <w:top w:w="100" w:type="dxa"/>
              <w:bottom w:w="100" w:type="dxa"/>
              <w:left w:w="120" w:type="dxa"/>
              <w:right w:w="120" w:type="dxa"/>
            </w:tcMar>
          </w:tcPr>
          <w:p>
            <w:pPr>
              <w:spacing w:after="0"/>
            </w:pPr>
            <w:r>
              <w:rPr>
                <w:sz w:val="16"/>
              </w:rPr>
              <w:t>Good (Comprehensive API)</w:t>
            </w:r>
          </w:p>
        </w:tc>
      </w:tr>
      <w:tr>
        <w:tc>
          <w:tcPr>
            <w:tcW w:type="dxa" w:w="1872"/>
            <w:shd w:fill="FFFFFF"/>
            <w:tcMar>
              <w:top w:w="100" w:type="dxa"/>
              <w:bottom w:w="100" w:type="dxa"/>
              <w:left w:w="120" w:type="dxa"/>
              <w:right w:w="120" w:type="dxa"/>
            </w:tcMar>
          </w:tcPr>
          <w:p>
            <w:pPr>
              <w:spacing w:after="0"/>
            </w:pPr>
            <w:r>
              <w:rPr>
                <w:b/>
                <w:sz w:val="16"/>
              </w:rPr>
              <w:t>Apache Guacamole</w:t>
            </w:r>
          </w:p>
        </w:tc>
        <w:tc>
          <w:tcPr>
            <w:tcW w:type="dxa" w:w="1872"/>
            <w:shd w:fill="FFFFFF"/>
            <w:tcMar>
              <w:top w:w="100" w:type="dxa"/>
              <w:bottom w:w="100" w:type="dxa"/>
              <w:left w:w="120" w:type="dxa"/>
              <w:right w:w="120" w:type="dxa"/>
            </w:tcMar>
          </w:tcPr>
          <w:p>
            <w:pPr>
              <w:spacing w:after="0"/>
            </w:pPr>
            <w:r>
              <w:rPr>
                <w:sz w:val="16"/>
              </w:rPr>
              <w:t>Clientless Gateway (RDP, SSH, VNC over HTML5)</w:t>
            </w:r>
          </w:p>
        </w:tc>
        <w:tc>
          <w:tcPr>
            <w:tcW w:type="dxa" w:w="1872"/>
            <w:shd w:fill="FFFFFF"/>
            <w:tcMar>
              <w:top w:w="100" w:type="dxa"/>
              <w:bottom w:w="100" w:type="dxa"/>
              <w:left w:w="120" w:type="dxa"/>
              <w:right w:w="120" w:type="dxa"/>
            </w:tcMar>
          </w:tcPr>
          <w:p>
            <w:pPr>
              <w:spacing w:after="0"/>
            </w:pPr>
            <w:r>
              <w:rPr>
                <w:sz w:val="16"/>
              </w:rPr>
              <w:t>None (Agentless)</w:t>
            </w:r>
          </w:p>
        </w:tc>
        <w:tc>
          <w:tcPr>
            <w:tcW w:type="dxa" w:w="1872"/>
            <w:shd w:fill="FFFFFF"/>
            <w:tcMar>
              <w:top w:w="100" w:type="dxa"/>
              <w:bottom w:w="100" w:type="dxa"/>
              <w:left w:w="120" w:type="dxa"/>
              <w:right w:w="120" w:type="dxa"/>
            </w:tcMar>
          </w:tcPr>
          <w:p>
            <w:pPr>
              <w:spacing w:after="0"/>
            </w:pPr>
            <w:r>
              <w:rPr>
                <w:sz w:val="16"/>
              </w:rPr>
              <w:t>Requires LAN / VPN / Tunnel</w:t>
            </w:r>
          </w:p>
        </w:tc>
        <w:tc>
          <w:tcPr>
            <w:tcW w:type="dxa" w:w="1872"/>
            <w:shd w:fill="FFFFFF"/>
            <w:tcMar>
              <w:top w:w="100" w:type="dxa"/>
              <w:bottom w:w="100" w:type="dxa"/>
              <w:left w:w="120" w:type="dxa"/>
              <w:right w:w="120" w:type="dxa"/>
            </w:tcMar>
          </w:tcPr>
          <w:p>
            <w:pPr>
              <w:spacing w:after="0"/>
            </w:pPr>
            <w:r>
              <w:rPr>
                <w:sz w:val="16"/>
              </w:rPr>
              <w:t>Low (No script automation)</w:t>
            </w:r>
          </w:p>
        </w:tc>
      </w:tr>
      <w:tr>
        <w:tc>
          <w:tcPr>
            <w:tcW w:type="dxa" w:w="1872"/>
            <w:shd w:fill="F9FAFB"/>
            <w:tcMar>
              <w:top w:w="100" w:type="dxa"/>
              <w:bottom w:w="100" w:type="dxa"/>
              <w:left w:w="120" w:type="dxa"/>
              <w:right w:w="120" w:type="dxa"/>
            </w:tcMar>
          </w:tcPr>
          <w:p>
            <w:pPr>
              <w:spacing w:after="0"/>
            </w:pPr>
            <w:r>
              <w:rPr>
                <w:b/>
                <w:sz w:val="16"/>
              </w:rPr>
              <w:t>Remotely</w:t>
            </w:r>
          </w:p>
        </w:tc>
        <w:tc>
          <w:tcPr>
            <w:tcW w:type="dxa" w:w="1872"/>
            <w:shd w:fill="F9FAFB"/>
            <w:tcMar>
              <w:top w:w="100" w:type="dxa"/>
              <w:bottom w:w="100" w:type="dxa"/>
              <w:left w:w="120" w:type="dxa"/>
              <w:right w:w="120" w:type="dxa"/>
            </w:tcMar>
          </w:tcPr>
          <w:p>
            <w:pPr>
              <w:spacing w:after="0"/>
            </w:pPr>
            <w:r>
              <w:rPr>
                <w:sz w:val="16"/>
              </w:rPr>
              <w:t>Remote Desktop &amp; Scripting (.NET / SignalR)</w:t>
            </w:r>
          </w:p>
        </w:tc>
        <w:tc>
          <w:tcPr>
            <w:tcW w:type="dxa" w:w="1872"/>
            <w:shd w:fill="F9FAFB"/>
            <w:tcMar>
              <w:top w:w="100" w:type="dxa"/>
              <w:bottom w:w="100" w:type="dxa"/>
              <w:left w:w="120" w:type="dxa"/>
              <w:right w:w="120" w:type="dxa"/>
            </w:tcMar>
          </w:tcPr>
          <w:p>
            <w:pPr>
              <w:spacing w:after="0"/>
            </w:pPr>
            <w:r>
              <w:rPr>
                <w:sz w:val="16"/>
              </w:rPr>
              <w:t>Remotely Agent (.NET Core)</w:t>
            </w:r>
          </w:p>
        </w:tc>
        <w:tc>
          <w:tcPr>
            <w:tcW w:type="dxa" w:w="1872"/>
            <w:shd w:fill="F9FAFB"/>
            <w:tcMar>
              <w:top w:w="100" w:type="dxa"/>
              <w:bottom w:w="100" w:type="dxa"/>
              <w:left w:w="120" w:type="dxa"/>
              <w:right w:w="120" w:type="dxa"/>
            </w:tcMar>
          </w:tcPr>
          <w:p>
            <w:pPr>
              <w:spacing w:after="0"/>
            </w:pPr>
            <w:r>
              <w:rPr>
                <w:sz w:val="16"/>
              </w:rPr>
              <w:t>Automatic (SignalR WSS)</w:t>
            </w:r>
          </w:p>
        </w:tc>
        <w:tc>
          <w:tcPr>
            <w:tcW w:type="dxa" w:w="1872"/>
            <w:shd w:fill="F9FAFB"/>
            <w:tcMar>
              <w:top w:w="100" w:type="dxa"/>
              <w:bottom w:w="100" w:type="dxa"/>
              <w:left w:w="120" w:type="dxa"/>
              <w:right w:w="120" w:type="dxa"/>
            </w:tcMar>
          </w:tcPr>
          <w:p>
            <w:pPr>
              <w:spacing w:after="0"/>
            </w:pPr>
            <w:r>
              <w:rPr>
                <w:sz w:val="16"/>
              </w:rPr>
              <w:t>Fair (Smaller community)</w:t>
            </w:r>
          </w:p>
        </w:tc>
      </w:tr>
    </w:tbl>
    <w:p>
      <w:pPr>
        <w:spacing w:after="160"/>
      </w:pPr>
    </w:p>
    <w:p>
      <w:pPr>
        <w:keepNext/>
        <w:spacing w:before="240" w:after="80"/>
      </w:pPr>
      <w:r>
        <w:rPr>
          <w:rFonts w:ascii="Segoe UI Semibold" w:hAnsi="Segoe UI Semibold"/>
          <w:b/>
          <w:color w:val="2563EB"/>
          <w:sz w:val="26"/>
        </w:rPr>
        <w:t>Detailed Evaluation of Alternatives</w:t>
      </w:r>
    </w:p>
    <w:p>
      <w:pPr>
        <w:keepNext/>
        <w:spacing w:before="160" w:after="40"/>
      </w:pPr>
      <w:r>
        <w:rPr>
          <w:rFonts w:ascii="Segoe UI Semibold" w:hAnsi="Segoe UI Semibold"/>
          <w:b/>
          <w:color w:val="1F2937"/>
          <w:sz w:val="22"/>
        </w:rPr>
        <w:t>1. RustDesk</w:t>
      </w:r>
    </w:p>
    <w:p>
      <w:pPr>
        <w:spacing w:after="120" w:line="276" w:lineRule="auto"/>
      </w:pPr>
      <w:r>
        <w:rPr>
          <w:rFonts w:ascii="Segoe UI" w:hAnsi="Segoe UI"/>
          <w:sz w:val="20"/>
        </w:rPr>
        <w:t>RustDesk is an open-source, self-hosted remote desktop software written in Rust. It uses a rendezvous server (hbbs) for device discovery and a relay server (hbbr) when Peer-to-Peer (P2P) UDP hole punching fails. While RustDesk delivers outstanding video frame rates and low-latency interactive screen sharing, it lacks a native headless command execution API like meshctrl.js, making it less suitable for automated AI chatbot remediation.</w:t>
      </w:r>
    </w:p>
    <w:p>
      <w:pPr>
        <w:keepNext/>
        <w:spacing w:before="160" w:after="40"/>
      </w:pPr>
      <w:r>
        <w:rPr>
          <w:rFonts w:ascii="Segoe UI Semibold" w:hAnsi="Segoe UI Semibold"/>
          <w:b/>
          <w:color w:val="1F2937"/>
          <w:sz w:val="22"/>
        </w:rPr>
        <w:t>2. Tactical RMM</w:t>
      </w:r>
    </w:p>
    <w:p>
      <w:pPr>
        <w:spacing w:after="120" w:line="276" w:lineRule="auto"/>
      </w:pPr>
      <w:r>
        <w:rPr>
          <w:rFonts w:ascii="Segoe UI" w:hAnsi="Segoe UI"/>
          <w:sz w:val="20"/>
        </w:rPr>
        <w:t>Tactical RMM is a full-featured open-source Remote Monitoring and Management (RMM) platform built with Django, Vue.js, and Golang. Notably, Tactical RMM embeds MeshCentral as its internal engine for remote desktop, terminal, and file transfer! Tactical RMM adds automated alerting, patch management, and scheduled maintenance. However, it requires a heavier Docker multi-container deployment.</w:t>
      </w:r>
    </w:p>
    <w:p>
      <w:pPr>
        <w:keepNext/>
        <w:spacing w:before="160" w:after="40"/>
      </w:pPr>
      <w:r>
        <w:rPr>
          <w:rFonts w:ascii="Segoe UI Semibold" w:hAnsi="Segoe UI Semibold"/>
          <w:b/>
          <w:color w:val="1F2937"/>
          <w:sz w:val="22"/>
        </w:rPr>
        <w:t>3. Apache Guacamole</w:t>
      </w:r>
    </w:p>
    <w:p>
      <w:pPr>
        <w:spacing w:after="120" w:line="276" w:lineRule="auto"/>
      </w:pPr>
      <w:r>
        <w:rPr>
          <w:rFonts w:ascii="Segoe UI" w:hAnsi="Segoe UI"/>
          <w:sz w:val="20"/>
        </w:rPr>
        <w:t>Apache Guacamole is a clientless HTML5 remote desktop gateway. It connects natively to Windows RDP, VNC, and SSH servers via its guacd daemon and renders sessions in web browsers. Because it is agentless, it cannot traverse NAT/firewalls for remote work-from-home laptops without corporate VPNs, and offers no background programmatic script execution engine.</w:t>
      </w:r>
    </w:p>
    <w:p>
      <w:pPr>
        <w:keepNext/>
        <w:spacing w:before="360" w:after="120"/>
      </w:pPr>
      <w:r>
        <w:rPr>
          <w:rFonts w:ascii="Segoe UI Semibold" w:hAnsi="Segoe UI Semibold"/>
          <w:b/>
          <w:color w:val="1E3A8A"/>
          <w:sz w:val="32"/>
        </w:rPr>
        <w:t>8. Conclusion &amp; Recommendations</w:t>
      </w:r>
    </w:p>
    <w:p>
      <w:pPr>
        <w:spacing w:after="120" w:line="276" w:lineRule="auto"/>
      </w:pPr>
      <w:r>
        <w:rPr>
          <w:rFonts w:ascii="Segoe UI" w:hAnsi="Segoe UI"/>
          <w:sz w:val="20"/>
        </w:rPr>
        <w:t>For an AI-driven automated IT Helpdesk, MeshCentral is the premier open-source solution because:</w:t>
      </w:r>
    </w:p>
    <w:p>
      <w:pPr>
        <w:pStyle w:val="ListBullet"/>
        <w:spacing w:after="60" w:line="276" w:lineRule="auto"/>
      </w:pPr>
      <w:r>
        <w:rPr>
          <w:b/>
          <w:color w:val="1F2937"/>
        </w:rPr>
        <w:t xml:space="preserve">1. Headless CLI Tool (meshctrl.js): </w:t>
      </w:r>
      <w:r>
        <w:rPr>
          <w:rFonts w:ascii="Segoe UI" w:hAnsi="Segoe UI"/>
          <w:sz w:val="20"/>
        </w:rPr>
        <w:t>Provides synchronous script execution with immediate stdout return, perfectly matching LLM function-calling patterns.</w:t>
      </w:r>
    </w:p>
    <w:p>
      <w:pPr>
        <w:pStyle w:val="ListBullet"/>
        <w:spacing w:after="60" w:line="276" w:lineRule="auto"/>
      </w:pPr>
      <w:r>
        <w:rPr>
          <w:b/>
          <w:color w:val="1F2937"/>
        </w:rPr>
        <w:t xml:space="preserve">2. True Outbound WSS Architecture: </w:t>
      </w:r>
      <w:r>
        <w:rPr>
          <w:rFonts w:ascii="Segoe UI" w:hAnsi="Segoe UI"/>
          <w:sz w:val="20"/>
        </w:rPr>
        <w:t>Connects distributed workforces across corporate firewalls and home routers without network reconfigurations.</w:t>
      </w:r>
    </w:p>
    <w:p>
      <w:pPr>
        <w:pStyle w:val="ListBullet"/>
        <w:spacing w:after="60" w:line="276" w:lineRule="auto"/>
      </w:pPr>
      <w:r>
        <w:rPr>
          <w:b/>
          <w:color w:val="1F2937"/>
        </w:rPr>
        <w:t xml:space="preserve">3. Elevated Privileges: </w:t>
      </w:r>
      <w:r>
        <w:rPr>
          <w:rFonts w:ascii="Segoe UI" w:hAnsi="Segoe UI"/>
          <w:sz w:val="20"/>
        </w:rPr>
        <w:t>MeshAgent runs as SYSTEM, granting the AI the authority needed to clear locked files, restart critical services, and remediate issues seamlessly.</w:t>
      </w:r>
    </w:p>
    <w:p>
      <w:pPr>
        <w:pStyle w:val="ListBullet"/>
        <w:spacing w:after="60" w:line="276" w:lineRule="auto"/>
      </w:pPr>
      <w:r>
        <w:rPr>
          <w:b/>
          <w:color w:val="1F2937"/>
        </w:rPr>
        <w:t xml:space="preserve">4. Instant Human Escalation: </w:t>
      </w:r>
      <w:r>
        <w:rPr>
          <w:rFonts w:ascii="Segoe UI" w:hAnsi="Segoe UI"/>
          <w:sz w:val="20"/>
        </w:rPr>
        <w:t>Hash-based URL routing enables 1-click browser KVM and terminal handoff without context loss.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