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Exercise 05 — Types of Decomposition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 Decomposition of couriers' actions.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Goal of decomposition: Identification of functions.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 of decomposition: Functional decomposition.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Decomposition: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95251</wp:posOffset>
            </wp:positionH>
            <wp:positionV relativeFrom="paragraph">
              <wp:posOffset>190500</wp:posOffset>
            </wp:positionV>
            <wp:extent cx="5753100" cy="1747838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17478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95251</wp:posOffset>
            </wp:positionH>
            <wp:positionV relativeFrom="paragraph">
              <wp:posOffset>180975</wp:posOffset>
            </wp:positionV>
            <wp:extent cx="5943600" cy="1790700"/>
            <wp:effectExtent b="0" l="0" r="0" t="0"/>
            <wp:wrapNone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142875</wp:posOffset>
            </wp:positionH>
            <wp:positionV relativeFrom="paragraph">
              <wp:posOffset>647700</wp:posOffset>
            </wp:positionV>
            <wp:extent cx="5943600" cy="1790700"/>
            <wp:effectExtent b="0" l="0" r="0" t="0"/>
            <wp:wrapNone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2. Object decomposition of the actors (roles) of the task.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Goal of object decomposition: Identification of constituent parts (component).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 of decomposition: Object decomposition.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Decomposition: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943600" cy="26035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528638</wp:posOffset>
            </wp:positionH>
            <wp:positionV relativeFrom="paragraph">
              <wp:posOffset>161925</wp:posOffset>
            </wp:positionV>
            <wp:extent cx="4881563" cy="3497377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1563" cy="349737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footerReference r:id="rId11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