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rPr>
        <w:t xml:space="preserve">A Circular </w:t>
      </w:r>
      <w:r>
        <w:rPr>
          <w:b/>
        </w:rPr>
        <w:t>Diffusion Model of Continuous-Outcome Source Memory Retrieval</w:t>
      </w:r>
    </w:p>
    <w:p>
      <w:pPr>
        <w:pStyle w:val="Normal"/>
        <w:jc w:val="center"/>
        <w:rPr/>
      </w:pPr>
      <w:r>
        <w:rPr/>
        <w:t>Jason Zhou</w:t>
      </w:r>
      <w:r>
        <w:rPr>
          <w:vertAlign w:val="superscript"/>
        </w:rPr>
        <w:t xml:space="preserve"> a</w:t>
      </w:r>
      <w:r>
        <w:rPr/>
        <w:t>, Adam F. Osth</w:t>
      </w:r>
      <w:r>
        <w:rPr>
          <w:vertAlign w:val="superscript"/>
        </w:rPr>
        <w:t xml:space="preserve"> a</w:t>
      </w:r>
      <w:r>
        <w:rPr/>
        <w:t>, Simon D. Lilburn</w:t>
      </w:r>
      <w:r>
        <w:rPr>
          <w:vertAlign w:val="superscript"/>
        </w:rPr>
        <w:t xml:space="preserve"> a</w:t>
      </w:r>
      <w:r>
        <w:rPr/>
        <w:t>, and Philip L. Smith</w:t>
      </w:r>
      <w:r>
        <w:rPr>
          <w:vertAlign w:val="superscript"/>
        </w:rPr>
        <w:t>a</w:t>
      </w:r>
    </w:p>
    <w:p>
      <w:pPr>
        <w:pStyle w:val="Normal"/>
        <w:jc w:val="center"/>
        <w:rPr/>
      </w:pPr>
      <w:r>
        <w:rPr>
          <w:vertAlign w:val="superscript"/>
        </w:rPr>
        <w:t xml:space="preserve">a </w:t>
      </w:r>
      <w:r>
        <w:rPr/>
        <w:t>Melbourne School of Psychological Sciences, The University of Melbourne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Corresponding Author:</w:t>
      </w:r>
    </w:p>
    <w:p>
      <w:pPr>
        <w:pStyle w:val="Normal"/>
        <w:rPr/>
      </w:pPr>
      <w:r>
        <w:rPr/>
        <w:t>Jason Zhou</w:t>
      </w:r>
    </w:p>
    <w:p>
      <w:pPr>
        <w:pStyle w:val="Normal"/>
        <w:rPr/>
      </w:pPr>
      <w:r>
        <w:rPr/>
        <w:t>Melbourne School of Psychological Sciences</w:t>
      </w:r>
    </w:p>
    <w:p>
      <w:pPr>
        <w:pStyle w:val="Normal"/>
        <w:rPr/>
      </w:pPr>
      <w:r>
        <w:rPr/>
        <w:t>The University of Melbourne</w:t>
      </w:r>
    </w:p>
    <w:p>
      <w:pPr>
        <w:pStyle w:val="Normal"/>
        <w:rPr/>
      </w:pPr>
      <w:r>
        <w:rPr/>
        <w:t>Parkville, VIC 3052, AUSTRALIA</w:t>
      </w:r>
    </w:p>
    <w:p>
      <w:pPr>
        <w:pStyle w:val="Normal"/>
        <w:rPr/>
      </w:pPr>
      <w:r>
        <w:rPr/>
        <w:t>jasonz1@student.unimelb.edu.au</w:t>
      </w:r>
    </w:p>
    <w:p>
      <w:pPr>
        <w:pStyle w:val="Normal"/>
        <w:rPr/>
      </w:pPr>
      <w:r>
        <w:rPr/>
        <w:t>Tel: LAB NUMBER</w:t>
      </w:r>
    </w:p>
    <w:p>
      <w:pPr>
        <w:pStyle w:val="Normal"/>
        <w:rPr/>
      </w:pPr>
      <w:r>
        <w:rPr/>
      </w:r>
    </w:p>
    <w:p>
      <w:pPr>
        <w:pStyle w:val="Normal"/>
        <w:rPr/>
      </w:pPr>
      <w:r>
        <w:rPr/>
        <w:t>Declaration of Interest: none</w:t>
      </w:r>
    </w:p>
    <w:p>
      <w:pPr>
        <w:pStyle w:val="Normal"/>
        <w:rPr/>
      </w:pPr>
      <w:r>
        <w:rPr/>
        <w:t xml:space="preserve">Funding sources: </w:t>
      </w:r>
      <w:r>
        <w:br w:type="page"/>
      </w:r>
    </w:p>
    <w:p>
      <w:pPr>
        <w:pStyle w:val="Normal"/>
        <w:jc w:val="center"/>
        <w:rPr/>
      </w:pPr>
      <w:r>
        <w:rPr/>
        <w:t>Abstract</w:t>
      </w:r>
    </w:p>
    <w:p>
      <w:pPr>
        <w:pStyle w:val="Normal"/>
        <w:tabs>
          <w:tab w:val="clear" w:pos="720"/>
          <w:tab w:val="left" w:pos="4349" w:leader="none"/>
        </w:tabs>
        <w:ind w:firstLine="720"/>
        <w:rPr/>
      </w:pPr>
      <w:r>
        <w:rPr>
          <w:bCs/>
        </w:rPr>
        <w:t xml:space="preserve">A circular analogue of the diffusion model adapted for continuous response tasks is applied to a source memory paradigm. In contrast to existing models of source retrieval that attribute all variability in responding to memory, the circular diffusion model decomposes noise into variability arising from memory and decision-making processes. </w:t>
      </w:r>
      <w:commentRangeStart w:id="0"/>
      <w:r>
        <w:rPr>
          <w:bCs/>
        </w:rPr>
        <w:t xml:space="preserve">We compare a single-process diffusion model with variable memory precision to a thresholded diffusion model with a discrete guessing process. </w:t>
      </w:r>
      <w:r>
        <w:rPr>
          <w:bCs/>
        </w:rPr>
      </w:r>
      <w:commentRangeEnd w:id="0"/>
      <w:r>
        <w:commentReference w:id="0"/>
      </w:r>
      <w:r>
        <w:rPr>
          <w:bCs/>
        </w:rPr>
        <w:t>Model fits to joint response error and RT data suggest that a memory strength threshold under which no information is retrieved appears to underly responding in a continuous report source memory task.</w:t>
      </w:r>
      <w:ins w:id="0" w:author="Unknown Author" w:date="2020-04-15T09:06:23Z">
        <w:r>
          <w:rPr>
            <w:bCs/>
          </w:rPr>
          <w:t xml:space="preserve"> </w:t>
        </w:r>
      </w:ins>
      <w:ins w:id="1" w:author="Unknown Author" w:date="2020-04-15T09:06:23Z">
        <w:r>
          <w:rPr>
            <w:bCs/>
          </w:rPr>
          <w:t xml:space="preserve">[PS: What are the journal limits? 150? 200? </w:t>
        </w:r>
      </w:ins>
      <w:ins w:id="2" w:author="Unknown Author" w:date="2020-04-15T09:07:07Z">
        <w:r>
          <w:rPr>
            <w:bCs/>
          </w:rPr>
          <w:t>I think you should have space to explain the models in plain language.]</w:t>
        </w:r>
      </w:ins>
    </w:p>
    <w:p>
      <w:pPr>
        <w:pStyle w:val="Normal"/>
        <w:tabs>
          <w:tab w:val="clear" w:pos="720"/>
          <w:tab w:val="left" w:pos="4349" w:leader="none"/>
        </w:tabs>
        <w:ind w:firstLine="720"/>
        <w:rPr/>
      </w:pPr>
      <w:r>
        <w:rPr/>
      </w:r>
    </w:p>
    <w:p>
      <w:pPr>
        <w:pStyle w:val="Normal"/>
        <w:tabs>
          <w:tab w:val="clear" w:pos="720"/>
          <w:tab w:val="left" w:pos="4349" w:leader="none"/>
        </w:tabs>
        <w:rPr/>
      </w:pPr>
      <w:r>
        <w:rPr>
          <w:i/>
        </w:rPr>
        <w:t xml:space="preserve">Keywords: </w:t>
      </w:r>
      <w:r>
        <w:rPr>
          <w:bCs/>
        </w:rPr>
        <w:t>source memory, continuous outcome, diffusion model, response time</w:t>
      </w:r>
      <w:r>
        <w:rPr/>
        <w:t xml:space="preserve"> </w:t>
      </w:r>
    </w:p>
    <w:p>
      <w:pPr>
        <w:pStyle w:val="Normal"/>
        <w:ind w:firstLine="720"/>
        <w:rPr>
          <w:color w:val="FF0000"/>
          <w:del w:id="34" w:author="Jason Zhou" w:date="2020-04-10T09:26:00Z"/>
        </w:rPr>
      </w:pPr>
      <w:r>
        <w:br w:type="column"/>
      </w:r>
      <w:bookmarkStart w:id="0" w:name="_GoBack"/>
      <w:bookmarkEnd w:id="0"/>
      <w:r>
        <w:rPr/>
        <w:t xml:space="preserve">Episodic memory is memory for particular events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commentRangeStart w:id="1"/>
      <w:r>
        <w:rPr/>
        <w:t>For example, if I remember that I learned some new information during the course of a particular conversation, then I have episodic memory for that information. If I also remember the person who provided the information, then I have source memory for it.</w:t>
      </w:r>
      <w:r>
        <w:rPr/>
      </w:r>
      <w:commentRangeEnd w:id="1"/>
      <w:r>
        <w:commentReference w:id="1"/>
      </w:r>
      <w:r>
        <w:rPr/>
        <w:t xml:space="preserve"> Source memory implies the existence of an associative link, or binding, between the information and its source. Items stored in memory may be bound to their episodic context in multiple ways, but the presence or absence of source memory for an item implies the presence or absence of a particular associative connection between the item and its source.  The specificity of source memory makes it of theoretical interest to researchers investigating the associative properties of memory. Source memory implies the existence of an associative link, or binding, between the information and its source. This link can have important real world consequences: a memory of a face might have very different implications if associated with a crime scene as opposed to a chance encounter.</w:t>
        <w:br/>
        <w:tab/>
        <w:t xml:space="preserve">A number of models have been developed to explain the source memory task, which make distinct assumptions about source memory retrieval. Continuous models of source memory predict that memory relies on continuous evidence (e.g., bivariate SDT). </w:t>
      </w:r>
      <w:ins w:id="3" w:author="Unknown Author" w:date="2020-04-15T09:15:02Z">
        <w:r>
          <w:rPr/>
          <w:t>[PS: You need to define the abbreviation SDT on first use. And why “bivariate”? This is too cryptic to stand uncommented.]</w:t>
        </w:r>
      </w:ins>
      <w:r>
        <w:rPr/>
        <w:t>As such,</w:t>
      </w:r>
      <w:ins w:id="4" w:author="Unknown Author" w:date="2020-04-15T09:16:41Z">
        <w:r>
          <w:rPr/>
          <w:t xml:space="preserve"> </w:t>
        </w:r>
      </w:ins>
      <w:ins w:id="5" w:author="Unknown Author" w:date="2020-04-15T09:16:41Z">
        <w:r>
          <w:rPr/>
          <w:t xml:space="preserve">I hate “as such”. It always seems </w:t>
        </w:r>
      </w:ins>
      <w:ins w:id="6" w:author="Unknown Author" w:date="2020-04-15T09:17:15Z">
        <w:r>
          <w:rPr/>
          <w:t>vague.  “</w:t>
        </w:r>
      </w:ins>
      <w:r>
        <w:rPr/>
        <w:t xml:space="preserve"> </w:t>
      </w:r>
      <w:ins w:id="7" w:author="Unknown Author" w:date="2020-04-15T09:18:44Z">
        <w:r>
          <w:rPr/>
          <w:t xml:space="preserve">In signal detection models,” </w:t>
        </w:r>
      </w:ins>
      <w:r>
        <w:rPr/>
        <w:t xml:space="preserve">retrieved information may be inaccurate but not absent, allowing for a gradual decline in the quality of information retrieved (Banks, 2000; Mickes, Wais &amp; Wixted, 2009). In contrast, threshold or discrete-state models hold that retrieval fails discretely, and so performance is made up of either precise responses driven by memory, or guesses when the memory is </w:t>
      </w:r>
      <w:ins w:id="8" w:author="Unknown Author" w:date="2020-04-15T09:19:22Z">
        <w:r>
          <w:rPr/>
          <w:t xml:space="preserve">below the retrieval threshold. </w:t>
        </w:r>
      </w:ins>
      <w:del w:id="9" w:author="Unknown Author" w:date="2020-04-15T09:19:39Z">
        <w:r>
          <w:rPr/>
          <w:delText>subthreshold</w:delText>
        </w:r>
      </w:del>
      <w:r>
        <w:rPr/>
        <w:t xml:space="preserve"> (Batchelder &amp; Riefer, 1990; Klauer &amp; Kellen, 2010). A third class of models can be regarded as hybrids of continuous and threshold models, and are known as dual-process models, in which different kinds of retrieval mechanism support different kinds of memory (Mandler, 1980). Specifically, dual-process models involve the retrieval mechanisms of familiarity, which is continuous</w:t>
      </w:r>
      <w:ins w:id="10" w:author="Jason Zhou" w:date="2020-04-10T09:37:00Z">
        <w:r>
          <w:rPr/>
          <w:t xml:space="preserve"> </w:t>
        </w:r>
      </w:ins>
      <w:ins w:id="11" w:author="Jason Zhou" w:date="2020-04-10T09:39:00Z">
        <w:r>
          <w:rPr/>
          <w:t xml:space="preserve">and </w:t>
        </w:r>
      </w:ins>
      <w:ins w:id="12" w:author="Jason Zhou" w:date="2020-04-10T09:37:00Z">
        <w:r>
          <w:rPr/>
          <w:t>reflects whether or not a particular item was previously encountered</w:t>
        </w:r>
      </w:ins>
      <w:r>
        <w:rPr/>
        <w:t>, and recollection, which is</w:t>
      </w:r>
      <w:del w:id="13" w:author="Jason Zhou" w:date="2020-04-10T09:39:00Z">
        <w:r>
          <w:rPr/>
          <w:delText xml:space="preserve"> </w:delText>
        </w:r>
      </w:del>
      <w:ins w:id="14" w:author="Jason Zhou" w:date="2020-04-10T09:37:00Z">
        <w:r>
          <w:rPr/>
          <w:t xml:space="preserve"> </w:t>
        </w:r>
      </w:ins>
      <w:r>
        <w:rPr/>
        <w:t>thresholded</w:t>
      </w:r>
      <w:ins w:id="15" w:author="Jason Zhou" w:date="2020-04-10T09:38:00Z">
        <w:r>
          <w:rPr/>
          <w:t xml:space="preserve"> </w:t>
        </w:r>
      </w:ins>
      <w:ins w:id="16" w:author="Jason Zhou" w:date="2020-04-10T09:39:00Z">
        <w:r>
          <w:rPr/>
          <w:t xml:space="preserve">and reflects a richer </w:t>
        </w:r>
      </w:ins>
      <w:ins w:id="17" w:author="Jason Zhou" w:date="2020-04-10T09:40:00Z">
        <w:r>
          <w:rPr/>
          <w:t>episodic account of the encounter</w:t>
        </w:r>
      </w:ins>
      <w:r>
        <w:rPr/>
        <w:t xml:space="preserve">. SDT and dual-process models make similar predictions about item recognition because </w:t>
      </w:r>
      <w:ins w:id="18" w:author="Unknown Author" w:date="2020-04-15T09:21:27Z">
        <w:r>
          <w:rPr/>
          <w:t xml:space="preserve">they both assume that recognition relies on familiarity, which is continuously </w:t>
        </w:r>
      </w:ins>
      <w:ins w:id="19" w:author="Unknown Author" w:date="2020-04-15T09:22:00Z">
        <w:r>
          <w:rPr/>
          <w:t xml:space="preserve">distributed. [Simpler?] </w:t>
        </w:r>
      </w:ins>
      <w:del w:id="20" w:author="Unknown Author" w:date="2020-04-15T09:22:38Z">
        <w:r>
          <w:rPr/>
          <w:delText>they both use a continuous component, which is to say that recognition relies on familiarity.</w:delText>
        </w:r>
      </w:del>
      <w:r>
        <w:rPr/>
        <w:t xml:space="preserve"> Source memory does not rely on familiarity because familiarity cannot distinguish between two sources which have both been encountered, and are thus equally familiar. </w:t>
      </w:r>
      <w:del w:id="21" w:author="Jason Zhou" w:date="2020-04-10T09:41:00Z">
        <w:r>
          <w:rPr/>
          <w:delText>This</w:delText>
        </w:r>
      </w:del>
      <w:r>
        <w:rPr/>
        <w:t xml:space="preserve"> </w:t>
      </w:r>
      <w:ins w:id="22" w:author="Jason Zhou" w:date="2020-04-10T09:41:00Z">
        <w:r>
          <w:rPr/>
          <w:t xml:space="preserve">SDT and dual-process models </w:t>
        </w:r>
      </w:ins>
      <w:ins w:id="23" w:author="Unknown Author" w:date="2020-04-15T09:23:08Z">
        <w:r>
          <w:rPr/>
          <w:t>make</w:t>
        </w:r>
      </w:ins>
      <w:del w:id="24" w:author="Unknown Author" w:date="2020-04-15T09:23:11Z">
        <w:r>
          <w:rPr/>
          <w:delText>produces</w:delText>
        </w:r>
      </w:del>
      <w:del w:id="25" w:author="Jason Zhou" w:date="2020-04-10T09:41:00Z">
        <w:r>
          <w:rPr/>
          <w:delText xml:space="preserve"> very</w:delText>
        </w:r>
      </w:del>
      <w:r>
        <w:rPr/>
        <w:t xml:space="preserve"> distinct predictions about the source memory task, which the dual-process</w:t>
      </w:r>
      <w:del w:id="26" w:author="Jason Zhou" w:date="2020-04-10T09:42:00Z">
        <w:r>
          <w:rPr/>
          <w:delText xml:space="preserve"> account</w:delText>
        </w:r>
      </w:del>
      <w:r>
        <w:rPr/>
        <w:t xml:space="preserve"> </w:t>
      </w:r>
      <w:ins w:id="27" w:author="Jason Zhou" w:date="2020-04-10T09:42:00Z">
        <w:r>
          <w:rPr/>
          <w:t xml:space="preserve">model </w:t>
        </w:r>
      </w:ins>
      <w:r>
        <w:rPr/>
        <w:t xml:space="preserve">assumes relies on retrieval via </w:t>
      </w:r>
      <w:del w:id="28" w:author="Unknown Author" w:date="2020-04-15T09:25:14Z">
        <w:r>
          <w:rPr/>
          <w:delText>r</w:delText>
        </w:r>
      </w:del>
      <w:ins w:id="29" w:author="Unknown Author" w:date="2020-04-15T09:25:16Z">
        <w:r>
          <w:rPr/>
          <w:t>a thresholded r</w:t>
        </w:r>
      </w:ins>
      <w:r>
        <w:rPr/>
        <w:t>ecollection</w:t>
      </w:r>
      <w:ins w:id="30" w:author="Unknown Author" w:date="2020-04-15T09:25:25Z">
        <w:r>
          <w:rPr/>
          <w:t xml:space="preserve"> </w:t>
        </w:r>
      </w:ins>
      <w:ins w:id="31" w:author="Unknown Author" w:date="2020-04-15T09:25:25Z">
        <w:r>
          <w:rPr/>
          <w:t>process.</w:t>
        </w:r>
      </w:ins>
      <w:del w:id="32" w:author="Unknown Author" w:date="2020-04-15T09:25:30Z">
        <w:r>
          <w:rPr/>
          <w:delText>, and is thus a thresholded process.</w:delText>
        </w:r>
      </w:del>
      <w:r>
        <w:rPr/>
        <w:br/>
        <w:tab/>
        <w:t xml:space="preserve">These competing models </w:t>
      </w:r>
      <w:ins w:id="33" w:author="Jason Zhou" w:date="2020-04-09T17:49:00Z">
        <w:r>
          <w:rPr/>
          <w:t xml:space="preserve">of retrieval from source memory </w:t>
        </w:r>
      </w:ins>
      <w:r>
        <w:rPr/>
        <w:t xml:space="preserve">have been difficult to distinguish between partly because evidence from accuracy and confidence alone can be inconsistent or, at best, only mildly informative for a particular account. </w:t>
      </w:r>
    </w:p>
    <w:p>
      <w:pPr>
        <w:pStyle w:val="Normal"/>
        <w:ind w:firstLine="720"/>
        <w:rPr>
          <w:color w:val="FF0000"/>
          <w:del w:id="36" w:author="Jason Zhou" w:date="2020-04-09T17:49:00Z"/>
        </w:rPr>
      </w:pPr>
      <w:del w:id="35" w:author="Jason Zhou" w:date="2020-04-09T17:49:00Z">
        <w:r>
          <w:rPr>
            <w:color w:val="FF0000"/>
          </w:rPr>
          <w:delText>INSERT RTCON WORK HERE</w:delText>
        </w:r>
      </w:del>
      <w:r>
        <w:rPr>
          <w:color w:val="FF0000"/>
        </w:rPr>
        <w:commentReference w:id="2"/>
      </w:r>
    </w:p>
    <w:p>
      <w:pPr>
        <w:pStyle w:val="Normal"/>
        <w:ind w:firstLine="720"/>
        <w:rPr/>
      </w:pPr>
      <w:r>
        <w:rPr/>
        <w:t xml:space="preserve">One more diagnostic method of distinguishing between accounts is to use a continuous outcome task. Unlike the more traditional two-alternative forced-choice tasks that are widely used in the study of memory, in continuous outcome tasks responses are made on a continuous scale. Historically, the continuous outcome task has its origins in the method of adjustment of classical psychophysics (Woodworth &amp; Schlossberg, 1954), in which sensory thresholds were measured by asking participants to adjust the intensity of a variable stimulus to match a standard. It was reintroduced to modern cognitive psychology by Prinzmetal, Amiri,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pPr>
        <w:pStyle w:val="Normal"/>
        <w:ind w:firstLine="720"/>
        <w:rPr/>
      </w:pPr>
      <w:r>
        <w:rPr/>
        <w:t xml:space="preserve">A drawback of using continuous response tasks to study memory is that, although decision models for discrete-choice tasks are well developed (e.g., the signal detection theory models </w:t>
      </w:r>
      <w:ins w:id="37" w:author="Unknown Author" w:date="2020-04-15T09:33:44Z">
        <w:r>
          <w:rPr/>
          <w:t xml:space="preserve">used </w:t>
        </w:r>
      </w:ins>
      <w:del w:id="38" w:author="Unknown Author" w:date="2020-04-15T09:33:41Z">
        <w:r>
          <w:rPr/>
          <w:delText>employed</w:delText>
        </w:r>
      </w:del>
      <w:del w:id="39" w:author="Unknown Author" w:date="2020-04-15T09:33:41Z">
        <w:r>
          <w:rPr/>
          <w:delText xml:space="preserve"> </w:delText>
        </w:r>
      </w:del>
      <w:ins w:id="40" w:author="Jason Zhou" w:date="2020-04-09T18:03:00Z">
        <w:r>
          <w:rPr/>
          <w:t>by Egan, 1958; Banks, 1970; DeCarlo, 2003; Wixted, 2007</w:t>
        </w:r>
      </w:ins>
      <w:ins w:id="41" w:author="Unknown Author" w:date="2020-04-15T09:33:48Z">
        <w:r>
          <w:rPr/>
          <w:t xml:space="preserve"> </w:t>
        </w:r>
      </w:ins>
      <w:ins w:id="42" w:author="Unknown Author" w:date="2020-04-15T09:33:48Z">
        <w:r>
          <w:rPr/>
          <w:t>and the diffusion model of Ratcliff, 1978</w:t>
        </w:r>
      </w:ins>
      <w:r>
        <w:rPr/>
        <w:t>),</w:t>
      </w:r>
      <w:ins w:id="43" w:author="Unknown Author" w:date="2020-04-15T09:27:38Z">
        <w:r>
          <w:rPr/>
          <w:t xml:space="preserve"> </w:t>
        </w:r>
      </w:ins>
      <w:ins w:id="44" w:author="Unknown Author" w:date="2020-04-15T09:27:38Z">
        <w:r>
          <w:rPr/>
          <w:t>until recently there were no formal</w:t>
        </w:r>
      </w:ins>
      <w:ins w:id="45" w:author="Unknown Author" w:date="2020-04-15T09:28:30Z">
        <w:r>
          <w:rPr/>
          <w:t xml:space="preserve"> models of the decision process in continuous out</w:t>
        </w:r>
      </w:ins>
      <w:ins w:id="46" w:author="Unknown Author" w:date="2020-04-15T09:29:00Z">
        <w:r>
          <w:rPr/>
          <w:t>come tasks. [I think you need to say here why it is important to look at RT.] In other areas of memory research that have used two-choice tasks, such as recognition memory, Ratcliff</w:t>
        </w:r>
      </w:ins>
      <w:ins w:id="47" w:author="Unknown Author" w:date="2020-04-15T09:43:28Z">
        <w:r>
          <w:rPr/>
          <w:t xml:space="preserve">’s diffusion model has provided a unified account of the retrieval processes that underlie response time (RT) and accuracy. </w:t>
        </w:r>
      </w:ins>
      <w:ins w:id="48" w:author="Unknown Author" w:date="2020-04-15T09:40:00Z">
        <w:r>
          <w:rPr/>
          <w:t xml:space="preserve"> </w:t>
        </w:r>
      </w:ins>
      <w:ins w:id="49" w:author="Unknown Author" w:date="2020-04-15T09:47:33Z">
        <w:r>
          <w:rPr/>
          <w:t>This kind of model-based approac</w:t>
        </w:r>
      </w:ins>
      <w:ins w:id="50" w:author="Unknown Author" w:date="2020-04-15T09:48:14Z">
        <w:r>
          <w:rPr/>
          <w:t xml:space="preserve">h, which accounts for both RT and accuracy, has been useful in </w:t>
        </w:r>
      </w:ins>
      <w:ins w:id="51" w:author="Unknown Author" w:date="2020-04-15T09:53:45Z">
        <w:r>
          <w:rPr/>
          <w:t>helping</w:t>
        </w:r>
      </w:ins>
      <w:ins w:id="52" w:author="Unknown Author" w:date="2020-04-15T09:49:00Z">
        <w:r>
          <w:rPr/>
          <w:t xml:space="preserve"> researchers distinguish between  alternatives that are difficult to distinguish based on accuracy alone. Here we </w:t>
        </w:r>
      </w:ins>
      <w:ins w:id="53" w:author="Unknown Author" w:date="2020-04-15T09:50:17Z">
        <w:r>
          <w:rPr/>
          <w:t>present a similar approach to the analysis of performance in a continuous outcome source memory</w:t>
        </w:r>
      </w:ins>
      <w:ins w:id="54" w:author="Unknown Author" w:date="2020-04-15T09:51:05Z">
        <w:r>
          <w:rPr/>
          <w:t>, which is based on the circular diffusion model of Smith and colleagues (Smith, 2016; Smith, Saber</w:t>
        </w:r>
      </w:ins>
      <w:ins w:id="55" w:author="Unknown Author" w:date="2020-04-15T09:52:00Z">
        <w:r>
          <w:rPr/>
          <w:t xml:space="preserve">, Corbett, &amp; Lilburn, 2020). </w:t>
        </w:r>
      </w:ins>
      <w:del w:id="56" w:author="Unknown Author" w:date="2020-04-15T09:52:38Z">
        <w:r>
          <w:rPr/>
          <w:delText xml:space="preserve"> analogs for continuous-response procedures have been missing, particularly when wishing to examine response time distributions. In this paper, we present a solution to this problem with the circular diffusion model of Smith (2016), which we apply to source memory data both in terms of response accuracy and response times. </w:delText>
        </w:r>
      </w:del>
    </w:p>
    <w:p>
      <w:pPr>
        <w:pStyle w:val="Normal"/>
        <w:ind w:firstLine="720"/>
        <w:rPr/>
      </w:pPr>
      <w:r>
        <w:rPr/>
        <w:t xml:space="preserve">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memory processes and retrieval processes to source memory performance in a precise way. </w:t>
      </w:r>
      <w:del w:id="57" w:author="Unknown Author" w:date="2020-04-15T09:54:46Z">
        <w:r>
          <w:rPr/>
          <w:delText>The reason for using a model of the decision process in the continuous outcome task is the same as the reason for using a model in two-choice tasks: It allows the researcher to identify and distinguish theoretically important components of processing</w:delText>
        </w:r>
      </w:del>
      <w:r>
        <w:rPr/>
        <w:t xml:space="preserve">. </w:t>
      </w:r>
      <w:ins w:id="58" w:author="Unknown Author" w:date="2020-04-15T09:54:48Z">
        <w:r>
          <w:rPr/>
          <w:t xml:space="preserve">[I think is said (should be said) </w:t>
        </w:r>
      </w:ins>
      <w:ins w:id="59" w:author="Unknown Author" w:date="2020-04-15T09:55:04Z">
        <w:r>
          <w:rPr/>
          <w:t xml:space="preserve"> above.] </w:t>
        </w:r>
      </w:ins>
      <w:del w:id="60" w:author="Unknown Author" w:date="2020-04-15T09:55:49Z">
        <w:r>
          <w:rPr/>
          <w:delText>For example, in the analysis of two-choice tasks, signal detection theory makes it possible to distinguish the effects of sensitivity and bias on the proportion of correct responses.</w:delText>
        </w:r>
      </w:del>
      <w:r>
        <w:rPr/>
        <w:t xml:space="preserve"> </w:t>
      </w:r>
      <w:ins w:id="61" w:author="Unknown Author" w:date="2020-04-15T09:55:51Z">
        <w:r>
          <w:rPr/>
          <w:t xml:space="preserve">[I think the Ratcliff diffusion model is </w:t>
        </w:r>
      </w:ins>
      <w:ins w:id="62" w:author="Unknown Author" w:date="2020-04-15T09:56:03Z">
        <w:r>
          <w:rPr/>
          <w:t xml:space="preserve">the more relevant comparison than signal detection theory.] </w:t>
        </w:r>
      </w:ins>
      <w:ins w:id="63" w:author="Unknown Author" w:date="2020-04-15T09:57:52Z">
        <w:r>
          <w:rPr/>
          <w:t xml:space="preserve">In two-choice tasks, </w:t>
        </w:r>
      </w:ins>
      <w:ins w:id="64" w:author="Unknown Author" w:date="2020-04-15T09:58:38Z">
        <w:r>
          <w:rPr/>
          <w:t xml:space="preserve">Ratcliff’s diffusion model (Ratcliff, 1978; Ratcliff &amp; McKoon, 2008) provides estimates of the quality of the information in the stimulus, the amount of evidence needed to make a response, and the time for nondecision processes, </w:t>
        </w:r>
      </w:ins>
      <w:ins w:id="65" w:author="Unknown Author" w:date="2020-04-15T10:00:17Z">
        <w:r>
          <w:rPr/>
          <w:t xml:space="preserve">The circular diffusion model provides a similar decomposition of the components of processing involved in continuous </w:t>
        </w:r>
      </w:ins>
      <w:ins w:id="66" w:author="Unknown Author" w:date="2020-04-15T10:01:00Z">
        <w:r>
          <w:rPr/>
          <w:t xml:space="preserve">outcome tasks. </w:t>
        </w:r>
      </w:ins>
      <w:r>
        <w:rPr/>
        <w:t>Continuous outcome tasks yield a measure of the</w:t>
      </w:r>
      <w:r>
        <w:rPr>
          <w:i/>
          <w:iCs/>
        </w:rPr>
        <w:t xml:space="preserve"> precision</w:t>
      </w:r>
      <w:r>
        <w:rP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rPr/>
        <w:t xml:space="preserve"> of the diffusion process and the quantity of evidence required for a response, represented by the</w:t>
      </w:r>
      <w:r>
        <w:rPr>
          <w:i/>
          <w:iCs/>
        </w:rPr>
        <w:t xml:space="preserve"> decision criterion</w:t>
      </w:r>
      <w:r>
        <w:rP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w:t>
      </w:r>
      <w:del w:id="67" w:author="Unknown Author" w:date="2020-04-15T10:02:06Z">
        <w:r>
          <w:rPr/>
          <w:delText>responses times (</w:delText>
        </w:r>
      </w:del>
      <w:r>
        <w:rPr/>
        <w:t>RT</w:t>
      </w:r>
      <w:del w:id="68" w:author="Unknown Author" w:date="2020-04-15T10:02:08Z">
        <w:r>
          <w:rPr/>
          <w:delText>)</w:delText>
        </w:r>
      </w:del>
      <w:r>
        <w:rPr/>
        <w:t xml:space="preserve"> are both measured.  In our task, described below, we measured both decision times and decision outcomes.   </w:t>
      </w:r>
      <w:r>
        <w:rPr>
          <w:i/>
          <w:iCs/>
        </w:rPr>
        <w:t xml:space="preserve">   </w:t>
      </w:r>
    </w:p>
    <w:p>
      <w:pPr>
        <w:pStyle w:val="Normal"/>
        <w:rPr/>
      </w:pPr>
      <w:r>
        <w:rPr/>
      </w:r>
    </w:p>
    <w:p>
      <w:pPr>
        <w:pStyle w:val="Heading1"/>
        <w:rPr/>
      </w:pPr>
      <w:bookmarkStart w:id="1" w:name="_gt9qbmngfygl"/>
      <w:bookmarkEnd w:id="1"/>
      <w:r>
        <w:rPr/>
        <w:t>Evidence from Two-choice Tasks</w:t>
      </w:r>
    </w:p>
    <w:p>
      <w:pPr>
        <w:pStyle w:val="Normal"/>
        <w:ind w:firstLine="720"/>
        <w:rPr>
          <w:del w:id="70" w:author="Jason Zhou" w:date="2020-04-10T09:42:00Z"/>
        </w:rPr>
      </w:pPr>
      <w:del w:id="69" w:author="Jason Zhou" w:date="2020-04-10T09:42:00Z">
        <w:r>
          <w:rPr/>
        </w:r>
      </w:del>
    </w:p>
    <w:p>
      <w:pPr>
        <w:pStyle w:val="Normal"/>
        <w:ind w:firstLine="720"/>
        <w:rPr/>
      </w:pPr>
      <w:bookmarkStart w:id="2" w:name="_yz5bpd7gcqvf"/>
      <w:bookmarkEnd w:id="2"/>
      <w:r>
        <w:rPr/>
        <w:t>Traditionally, evidence both for and against a threshold in source memory has come from the examination of Receiver Operating Characteristic (ROC) curves (Yonelinas &amp; Parks, 2007; Yonelinas, 1999; Slotnick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(Slotnick &amp; Dodson, 20</w:t>
      </w:r>
      <w:ins w:id="71" w:author="Unknown Author" w:date="2020-03-31T14:55:00Z">
        <w:r>
          <w:rPr/>
          <w:t xml:space="preserve"> </w:t>
        </w:r>
      </w:ins>
      <w:r>
        <w:rPr/>
        <w:t xml:space="preserve">05). In contrast, in a threshold model, each source is associated with a memory strength threshold, and where the strength of the memory representation fails to meet either response threshold, no information is retrieved and </w:t>
      </w:r>
      <w:ins w:id="72" w:author="Unknown Author" w:date="2020-04-15T10:05:34Z">
        <w:r>
          <w:rPr/>
          <w:t xml:space="preserve">the response is a guess. </w:t>
        </w:r>
      </w:ins>
      <w:del w:id="73" w:author="Unknown Author" w:date="2020-04-15T10:05:41Z">
        <w:r>
          <w:rPr/>
          <w:delText>a guess response is elicited.</w:delText>
        </w:r>
      </w:del>
      <w:r>
        <w:rPr/>
        <w:t xml:space="preserve"> The threshold model predicts that the ratio of false alarms to hit rates across criterion points is constant, producing a linear ROC (Rouder, Morey, Cowan, Zwilling, Morey &amp; Pratte, 2008). In examining ROCs for a two-choice source memory task, Yonelinas (1999) found that, although the ROCs for recognition memory performance were curvilinear, the ROCs for source memory performance were linear, indicating a threshold on retrieval.</w:t>
      </w:r>
    </w:p>
    <w:p>
      <w:pPr>
        <w:pStyle w:val="Normal"/>
        <w:ind w:firstLine="720"/>
        <w:rPr/>
      </w:pPr>
      <w:commentRangeStart w:id="3"/>
      <w:r>
        <w:rPr/>
        <w:t>The premise that recollection is thresholded was challenged by a reanalysis of the Yonelinas (1999) data by Slotnick and Dodson (2005), in which they conditioned source performance on recognition confidence ratings for each item</w:t>
      </w:r>
      <w:r>
        <w:rPr/>
      </w:r>
      <w:commentRangeEnd w:id="3"/>
      <w:r>
        <w:commentReference w:id="3"/>
      </w:r>
      <w:r>
        <w:rPr/>
        <w:t>.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were apparently increasingly linear, and more consistent with the predictions of the threshold model. The authors argued that only the items that were recognised with high confidence contained diagnostic source information, and that the linearity of source ROCs observed by Yonelinas (1999) was an artifact of collapsing across all recognition confidence ratings, and was thus not evidence for a recollection threshold.</w:t>
      </w:r>
    </w:p>
    <w:p>
      <w:pPr>
        <w:pStyle w:val="Normal"/>
        <w:rPr/>
      </w:pPr>
      <w:r>
        <w:rPr/>
        <w:t xml:space="preserve">        </w:t>
      </w:r>
      <w:r>
        <w:rPr/>
        <w:tab/>
        <w:t xml:space="preserve">Yonelinas and Parks (2007) responded to the Slotnick and Dodson (2005) analysis by proposing that source ROCs are typically linear, but become more curvilinear under a number of conditions. One such condition is when an item and a source are treated holistically as one item, known as </w:t>
      </w:r>
      <w:r>
        <w:rPr>
          <w:i/>
        </w:rPr>
        <w:t>unitised familiarity</w:t>
      </w:r>
      <w:r>
        <w:rPr>
          <w:iCs/>
        </w:rPr>
        <w:t>, which is continuous</w:t>
      </w:r>
      <w:r>
        <w:rPr/>
        <w:t>. We will return to this point in the Discussion. While this proposal represented a concession towards a continuous contribution under certain circumstances, Klauer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thresholded or continuous retrieval processes.</w:t>
      </w:r>
    </w:p>
    <w:p>
      <w:pPr>
        <w:pStyle w:val="Normal"/>
        <w:ind w:firstLine="720"/>
        <w:pPrChange w:id="0" w:author="Jason Zhou" w:date="2020-04-10T10:15:00Z"/>
        <w:rPr/>
      </w:pPr>
      <w:commentRangeStart w:id="4"/>
      <w:r>
        <w:rPr/>
        <w:t xml:space="preserve">In the recognition memory literature, Ratcliff and </w:t>
      </w:r>
      <w:ins w:id="74" w:author="Jason Zhou" w:date="2020-04-10T09:45:00Z">
        <w:r>
          <w:rPr/>
          <w:t>Starns</w:t>
        </w:r>
      </w:ins>
      <w:ins w:id="75" w:author="Jason Zhou" w:date="2020-04-10T09:45:00Z">
        <w:r>
          <w:rPr/>
          <w:t xml:space="preserve"> (2009) demonstrated the limitations of using ROC functions</w:t>
        </w:r>
      </w:ins>
      <w:ins w:id="76" w:author="Jason Zhou" w:date="2020-04-10T09:46:00Z">
        <w:r>
          <w:rPr/>
          <w:t xml:space="preserve"> in attempting to differentiate between single and dual-process models of memory retrieval.</w:t>
        </w:r>
      </w:ins>
      <w:r>
        <w:rPr/>
      </w:r>
      <w:ins w:id="77" w:author="Jason Zhou" w:date="2020-04-10T09:47:00Z">
        <w:commentRangeEnd w:id="4"/>
        <w:r>
          <w:commentReference w:id="4"/>
        </w:r>
        <w:r>
          <w:rPr/>
          <w:t xml:space="preserve"> </w:t>
        </w:r>
      </w:ins>
      <w:ins w:id="78" w:author="Jason Zhou" w:date="2020-04-10T09:55:00Z">
        <w:r>
          <w:rPr/>
          <w:t>Past findings of n</w:t>
        </w:r>
      </w:ins>
      <w:ins w:id="79" w:author="Jason Zhou" w:date="2020-04-10T09:53:00Z">
        <w:r>
          <w:rPr/>
          <w:t>onlinear</w:t>
        </w:r>
      </w:ins>
      <w:ins w:id="80" w:author="Jason Zhou" w:date="2020-04-10T09:54:00Z">
        <w:r>
          <w:rPr/>
          <w:t xml:space="preserve"> z-transformed ROC functions (z-ROCs) were </w:t>
        </w:r>
      </w:ins>
      <w:ins w:id="81" w:author="Jason Zhou" w:date="2020-04-10T09:54:00Z">
        <w:r>
          <w:rPr/>
          <w:t xml:space="preserve">thought to </w:t>
        </w:r>
      </w:ins>
      <w:ins w:id="82" w:author="Jason Zhou" w:date="2020-04-10T09:55:00Z">
        <w:r>
          <w:rPr/>
          <w:t xml:space="preserve">rule </w:t>
        </w:r>
      </w:ins>
      <w:ins w:id="83" w:author="Jason Zhou" w:date="2020-04-10T09:56:00Z">
        <w:r>
          <w:rPr/>
          <w:t>out</w:t>
        </w:r>
      </w:ins>
      <w:ins w:id="84" w:author="Jason Zhou" w:date="2020-04-10T09:55:00Z">
        <w:r>
          <w:rPr/>
          <w:t xml:space="preserve"> single process SDT </w:t>
        </w:r>
      </w:ins>
      <w:ins w:id="85" w:author="Jason Zhou" w:date="2020-04-10T09:56:00Z">
        <w:r>
          <w:rPr/>
          <w:t>models of retrieval, which predict linear z-ROCs.</w:t>
        </w:r>
      </w:ins>
      <w:ins w:id="86" w:author="Jason Zhou" w:date="2020-04-10T10:02:00Z">
        <w:r>
          <w:rPr/>
          <w:t xml:space="preserve"> </w:t>
        </w:r>
      </w:ins>
      <w:ins w:id="87" w:author="Jason Zhou" w:date="2020-04-10T09:59:00Z">
        <w:r>
          <w:rPr/>
          <w:t xml:space="preserve">However, using the RTCON model, Ratcliff and </w:t>
        </w:r>
      </w:ins>
      <w:ins w:id="88" w:author="Jason Zhou" w:date="2020-04-10T09:59:00Z">
        <w:r>
          <w:rPr/>
          <w:t>Starns</w:t>
        </w:r>
      </w:ins>
      <w:ins w:id="89" w:author="Jason Zhou" w:date="2020-04-10T09:59:00Z">
        <w:r>
          <w:rPr/>
          <w:t xml:space="preserve"> (2009) were able to produce non-linear z-ROCS </w:t>
        </w:r>
      </w:ins>
      <w:ins w:id="90" w:author="Jason Zhou" w:date="2020-04-10T10:04:00Z">
        <w:r>
          <w:rPr/>
          <w:t>by assumi</w:t>
        </w:r>
      </w:ins>
      <w:ins w:id="91" w:author="Jason Zhou" w:date="2020-04-10T10:05:00Z">
        <w:r>
          <w:rPr/>
          <w:t xml:space="preserve">ng that </w:t>
        </w:r>
      </w:ins>
      <w:ins w:id="92" w:author="Jason Zhou" w:date="2020-04-10T10:06:00Z">
        <w:r>
          <w:rPr/>
          <w:t>each confidence judgment had its own decision criterion, and that a confidence rating was produced when sufficient evidence is accumulated for one confidence category in a racing diffusion process.</w:t>
        </w:r>
      </w:ins>
      <w:ins w:id="93" w:author="Jason Zhou" w:date="2020-04-10T10:07:00Z">
        <w:r>
          <w:rPr/>
          <w:t xml:space="preserve"> The key difference between RTCON and the SDT approach was that</w:t>
        </w:r>
      </w:ins>
      <w:ins w:id="94" w:author="Jason Zhou" w:date="2020-04-10T10:08:00Z">
        <w:r>
          <w:rPr/>
          <w:t xml:space="preserve"> by modelling the </w:t>
        </w:r>
      </w:ins>
      <w:ins w:id="95" w:author="Jason Zhou" w:date="2020-04-10T10:09:00Z">
        <w:r>
          <w:rPr/>
          <w:t xml:space="preserve">rate of evidence accumulation (drift rate) </w:t>
        </w:r>
      </w:ins>
      <w:ins w:id="96" w:author="Jason Zhou" w:date="2020-04-10T10:08:00Z">
        <w:r>
          <w:rPr/>
          <w:t>RTCON</w:t>
        </w:r>
      </w:ins>
      <w:ins w:id="97" w:author="Jason Zhou" w:date="2020-04-10T10:09:00Z">
        <w:r>
          <w:rPr/>
          <w:t xml:space="preserve"> </w:t>
        </w:r>
      </w:ins>
      <w:ins w:id="98" w:author="Jason Zhou" w:date="2020-04-10T10:10:00Z">
        <w:r>
          <w:rPr/>
          <w:t xml:space="preserve">constituted a theoretical link between response times (RT) and confidence, instead of solely the proportion of correct responses. </w:t>
        </w:r>
      </w:ins>
      <w:ins w:id="99" w:author="Jason Zhou" w:date="2020-04-10T10:11:00Z">
        <w:r>
          <w:rPr/>
          <w:t>This subsequently allows for a decomposition of variability in responding into the independent contributions of memory strength, the decision criteria, and</w:t>
        </w:r>
      </w:ins>
      <w:ins w:id="100" w:author="Jason Zhou" w:date="2020-04-10T10:12:00Z">
        <w:r>
          <w:rPr/>
          <w:t xml:space="preserve"> noise within the evidence accumulation process, whereas SDT </w:t>
        </w:r>
      </w:ins>
      <w:ins w:id="101" w:author="Jason Zhou" w:date="2020-04-10T10:13:00Z">
        <w:r>
          <w:rPr/>
          <w:t>simply attributes</w:t>
        </w:r>
      </w:ins>
      <w:ins w:id="102" w:author="Jason Zhou" w:date="2020-04-10T10:13:00Z">
        <w:r>
          <w:rPr/>
          <w:t xml:space="preserve"> all variability in responding to just memory-based variability. This is a point we will return to when discussing our application of the circular diffusion model in the present study.</w:t>
        </w:r>
      </w:ins>
      <w:ins w:id="103" w:author="Jason Zhou" w:date="2020-04-10T10:13:00Z">
        <w:r>
          <w:rPr/>
          <w:t xml:space="preserve"> In summary, this work demonstrated that </w:t>
        </w:r>
      </w:ins>
      <w:ins w:id="104" w:author="Jason Zhou" w:date="2020-04-10T10:14:00Z">
        <w:r>
          <w:rPr/>
          <w:t>response proportions</w:t>
        </w:r>
      </w:ins>
      <w:ins w:id="105" w:author="Jason Zhou" w:date="2020-04-10T10:14:00Z">
        <w:r>
          <w:rPr/>
          <w:t xml:space="preserve"> (in the f</w:t>
        </w:r>
      </w:ins>
      <w:ins w:id="106" w:author="Jason Zhou" w:date="2020-04-10T10:15:00Z">
        <w:r>
          <w:rPr/>
          <w:t xml:space="preserve">orm of ROC curves) </w:t>
        </w:r>
      </w:ins>
      <w:ins w:id="107" w:author="Jason Zhou" w:date="2020-04-10T09:42:00Z">
        <w:r>
          <w:rPr/>
          <w:t xml:space="preserve">could not be used </w:t>
        </w:r>
      </w:ins>
      <w:ins w:id="108" w:author="Jason Zhou" w:date="2020-04-10T10:15:00Z">
        <w:r>
          <w:rPr/>
          <w:t>in the absence of RTs</w:t>
        </w:r>
      </w:ins>
      <w:ins w:id="109" w:author="Jason Zhou" w:date="2020-04-10T09:42:00Z">
        <w:r>
          <w:rPr/>
          <w:t xml:space="preserve"> to directly make inferences about the nature of memory</w:t>
        </w:r>
      </w:ins>
      <w:ins w:id="110" w:author="Jason Zhou" w:date="2020-04-10T10:15:00Z">
        <w:r>
          <w:rPr/>
          <w:t>.</w:t>
        </w:r>
      </w:ins>
    </w:p>
    <w:p>
      <w:pPr>
        <w:pStyle w:val="Heading1"/>
        <w:keepNext w:val="false"/>
        <w:keepLines w:val="false"/>
        <w:spacing w:before="400" w:after="120"/>
        <w:rPr/>
      </w:pPr>
      <w:r>
        <w:rPr/>
        <w:t>Continuous Report Tasks</w:t>
      </w:r>
      <w:ins w:id="111" w:author="Unknown Author" w:date="2020-04-15T10:08:30Z">
        <w:r>
          <w:rPr/>
          <w:t xml:space="preserve"> </w:t>
        </w:r>
      </w:ins>
      <w:ins w:id="112" w:author="Unknown Author" w:date="2020-04-15T10:08:30Z">
        <w:r>
          <w:rPr/>
          <w:t>[I am tending to follow Roger and call it “continuous outcome” rather than “continuous report.</w:t>
        </w:r>
      </w:ins>
      <w:ins w:id="113" w:author="Unknown Author" w:date="2020-04-15T10:09:07Z">
        <w:r>
          <w:rPr/>
          <w:t>” It’s a bit more concrete.</w:t>
        </w:r>
      </w:ins>
      <w:ins w:id="114" w:author="Unknown Author" w:date="2020-04-15T10:08:30Z">
        <w:r>
          <w:rPr/>
          <w:t>]</w:t>
        </w:r>
      </w:ins>
    </w:p>
    <w:p>
      <w:pPr>
        <w:pStyle w:val="Normal"/>
        <w:ind w:firstLine="720"/>
        <w:rPr/>
      </w:pPr>
      <w:r>
        <w:rPr/>
        <w:t xml:space="preserve">Harlow and Donaldson (2013) addressed the need for more diagnostic data </w:t>
      </w:r>
      <w:ins w:id="115" w:author="Jason Zhou" w:date="2020-04-10T10:15:00Z">
        <w:r>
          <w:rPr/>
          <w:t xml:space="preserve">in the source memory literature </w:t>
        </w:r>
      </w:ins>
      <w:r>
        <w:rPr/>
        <w:t xml:space="preserve">by </w:t>
      </w:r>
      <w:ins w:id="116" w:author="Unknown Author" w:date="2020-04-15T10:07:56Z">
        <w:r>
          <w:rPr/>
          <w:t xml:space="preserve">using a continuous </w:t>
        </w:r>
      </w:ins>
      <w:ins w:id="117" w:author="Unknown Author" w:date="2020-04-15T10:08:00Z">
        <w:r>
          <w:rPr/>
          <w:t xml:space="preserve">outcome task instead of a two-choice task, </w:t>
        </w:r>
      </w:ins>
      <w:del w:id="118" w:author="Unknown Author" w:date="2020-04-15T10:08:19Z">
        <w:r>
          <w:rPr/>
          <w:delText>replacing binary decision outcomes with a continuous report paradigm,</w:delText>
        </w:r>
      </w:del>
      <w:r>
        <w:rPr/>
        <w:t xml:space="preserve">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tab/>
      </w:r>
    </w:p>
    <w:p>
      <w:pPr>
        <w:pStyle w:val="Normal"/>
        <w:ind w:firstLine="720"/>
        <w:rPr/>
      </w:pPr>
      <w:r>
        <w:rP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w:t>
      </w:r>
      <w:commentRangeStart w:id="5"/>
      <w:r>
        <w:rPr/>
        <w:t xml:space="preserve">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commentRangeEnd w:id="5"/>
      <w:r>
        <w:commentReference w:id="5"/>
      </w:r>
      <w:r>
        <w:rPr/>
      </w:r>
    </w:p>
    <w:p>
      <w:pPr>
        <w:pStyle w:val="Normal"/>
        <w:ind w:firstLine="720"/>
        <w:rPr/>
      </w:pPr>
      <w:r>
        <w:rP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t>
      </w:r>
      <w:ins w:id="119" w:author="Unknown Author" w:date="2020-04-15T10:11:17Z">
        <w:r>
          <w:rPr/>
          <w:t xml:space="preserve">were </w:t>
        </w:r>
      </w:ins>
      <w:del w:id="120" w:author="Unknown Author" w:date="2020-04-15T10:11:19Z">
        <w:r>
          <w:rPr/>
          <w:delText>was</w:delText>
        </w:r>
      </w:del>
      <w:r>
        <w:rPr/>
        <w:t xml:space="preserve"> better fit by the threshold model better than by its continuous counterpart, which assume</w:t>
      </w:r>
      <w:ins w:id="121" w:author="Unknown Author" w:date="2020-04-15T10:11:37Z">
        <w:r>
          <w:rPr/>
          <w:t>d</w:t>
        </w:r>
      </w:ins>
      <w:del w:id="122" w:author="Unknown Author" w:date="2020-04-15T10:11:38Z">
        <w:r>
          <w:rPr/>
          <w:delText>s</w:delText>
        </w:r>
      </w:del>
      <w:r>
        <w:rPr/>
        <w:t xml:space="preserve"> that all responses follow a single wrapped Cauchy distribution, </w:t>
      </w:r>
      <w:ins w:id="123" w:author="Unknown Author" w:date="2020-04-15T10:11:49Z">
        <w:r>
          <w:rPr/>
          <w:t xml:space="preserve">and which </w:t>
        </w:r>
      </w:ins>
      <w:r>
        <w:rPr/>
        <w:t>predicts that responses made with moderate memory strength would result in  a wider spread of responses around the true location without a uniformly distributed guessing component.</w:t>
      </w:r>
    </w:p>
    <w:p>
      <w:pPr>
        <w:pStyle w:val="Heading2"/>
        <w:rPr/>
      </w:pPr>
      <w:bookmarkStart w:id="3" w:name="_wqg886cyig06"/>
      <w:bookmarkEnd w:id="3"/>
      <w:r>
        <w:rPr/>
        <w:t>Source Memory for Unrecognized Items</w:t>
      </w:r>
    </w:p>
    <w:p>
      <w:pPr>
        <w:pStyle w:val="Normal1"/>
        <w:spacing w:lineRule="auto" w:line="480"/>
        <w:ind w:firstLine="720"/>
        <w:rPr/>
      </w:pPr>
      <w:r>
        <w:rPr/>
        <w:t xml:space="preserve">Although Harlow and Donaldson’s (2013) method represents an innovative way to charactertize the retrieval processes in source memory tasks, a limitation of their </w:t>
      </w:r>
      <w:ins w:id="124" w:author="Unknown Author" w:date="2020-04-15T10:15:42Z">
        <w:r>
          <w:rPr/>
          <w:t xml:space="preserve">approach was that </w:t>
        </w:r>
      </w:ins>
      <w:ins w:id="125" w:author="Unknown Author" w:date="2020-04-15T10:17:35Z">
        <w:r>
          <w:rPr/>
          <w:t xml:space="preserve">it did not </w:t>
        </w:r>
      </w:ins>
      <w:ins w:id="126" w:author="Unknown Author" w:date="2020-04-15T10:19:03Z">
        <w:r>
          <w:rPr/>
          <w:t xml:space="preserve">distinguish between </w:t>
        </w:r>
      </w:ins>
      <w:ins w:id="127" w:author="Unknown Author" w:date="2020-04-15T10:23:13Z">
        <w:r>
          <w:rPr/>
          <w:t xml:space="preserve">recognition failures and source retrieval failures. </w:t>
        </w:r>
      </w:ins>
      <w:del w:id="128" w:author="Unknown Author" w:date="2020-04-15T10:21:27Z">
        <w:r>
          <w:rPr/>
          <w:delText>experimental design was that</w:delText>
        </w:r>
      </w:del>
      <w:del w:id="129" w:author="Unknown Author" w:date="2020-04-15T10:15:37Z">
        <w:r>
          <w:rPr/>
          <w:delText xml:space="preserve"> </w:delText>
        </w:r>
      </w:del>
      <w:del w:id="130" w:author="Unknown Author" w:date="2020-04-15T10:21:27Z">
        <w:r>
          <w:rPr/>
          <w:delText>participants’ source judgments for items were not conditioned on their confidence in a separate item recognition decision.</w:delText>
        </w:r>
      </w:del>
      <w:r>
        <w:rPr/>
        <w:t xml:space="preserve"> Slotnick and Dodson (2005) showed how source memory ROC shapes depend on recognition confidence in the two-choice paradigm, in that unrecognized items have no source discriminability, and it is possible that continuous source memory judgments are affected in a similar way. Hautus, MacMillan, and Rotello (2008) modeled performance in two-choice source memory tasks using a multivariate signal detection model </w:t>
      </w:r>
      <w:del w:id="131" w:author="Unknown Author" w:date="2020-04-15T10:22:07Z">
        <w:r>
          <w:rPr/>
          <w:delText>in the style of</w:delText>
        </w:r>
      </w:del>
      <w:r>
        <w:rPr/>
        <w:t xml:space="preserve"> </w:t>
      </w:r>
      <w:ins w:id="132" w:author="Unknown Author" w:date="2020-04-15T10:22:09Z">
        <w:r>
          <w:rPr/>
          <w:t xml:space="preserve">like that of </w:t>
        </w:r>
      </w:ins>
      <w:r>
        <w:rPr/>
        <w:t xml:space="preserve">Banks (2002) and </w:t>
      </w:r>
      <w:del w:id="133" w:author="Unknown Author" w:date="2020-04-15T10:22:20Z">
        <w:r>
          <w:rPr/>
          <w:delText>demonstrated</w:delText>
        </w:r>
      </w:del>
      <w:r>
        <w:rPr/>
        <w:t xml:space="preserve"> </w:t>
      </w:r>
      <w:ins w:id="134" w:author="Unknown Author" w:date="2020-04-15T10:22:22Z">
        <w:r>
          <w:rPr/>
          <w:t xml:space="preserve">obtained </w:t>
        </w:r>
      </w:ins>
      <w:r>
        <w:rPr/>
        <w:t>better fits to data by including a process</w:t>
      </w:r>
      <w:ins w:id="135" w:author="Unknown Author" w:date="2020-04-15T10:24:40Z">
        <w:r>
          <w:rPr/>
          <w:t xml:space="preserve"> </w:t>
        </w:r>
      </w:ins>
      <w:ins w:id="136" w:author="Unknown Author" w:date="2020-04-15T10:24:40Z">
        <w:r>
          <w:rPr/>
          <w:t xml:space="preserve">in which source </w:t>
        </w:r>
      </w:ins>
      <w:ins w:id="137" w:author="Unknown Author" w:date="2020-04-15T10:25:00Z">
        <w:r>
          <w:rPr/>
          <w:t>memory retrieval is not even attempted when an item is not recognized and the person simply guesses.</w:t>
        </w:r>
      </w:ins>
      <w:del w:id="138" w:author="Unknown Author" w:date="2020-04-15T10:23:59Z">
        <w:r>
          <w:rPr/>
          <w:delText xml:space="preserve"> </w:delText>
        </w:r>
      </w:del>
      <w:del w:id="139" w:author="Unknown Author" w:date="2020-04-15T10:25:36Z">
        <w:r>
          <w:rPr/>
          <w:delText>where unrecognized items produced guesses, to the extent that source memory retrieval is not even attempted when an item is not recognized.</w:delText>
        </w:r>
      </w:del>
      <w:r>
        <w:rPr/>
        <w:t xml:space="preserve"> Their findings mirror those of Slotnick and Dodson (2005) who found that source performance was at chance for items recogni</w:t>
      </w:r>
      <w:ins w:id="140" w:author="Unknown Author" w:date="2020-04-15T10:13:26Z">
        <w:r>
          <w:rPr/>
          <w:t>z</w:t>
        </w:r>
      </w:ins>
      <w:del w:id="141" w:author="Unknown Author" w:date="2020-04-15T10:13:26Z">
        <w:r>
          <w:rPr/>
          <w:delText>s</w:delText>
        </w:r>
      </w:del>
      <w:r>
        <w:rPr/>
        <w:t xml:space="preserve">ed </w:t>
      </w:r>
      <w:ins w:id="142" w:author="Unknown Author" w:date="2020-04-15T10:13:29Z">
        <w:r>
          <w:rPr/>
          <w:t xml:space="preserve">[US spelling?] </w:t>
        </w:r>
      </w:ins>
      <w:r>
        <w:rPr/>
        <w:t xml:space="preserve">with low confidence. </w:t>
      </w:r>
    </w:p>
    <w:p>
      <w:pPr>
        <w:pStyle w:val="Normal"/>
        <w:ind w:firstLine="720"/>
        <w:rPr/>
      </w:pPr>
      <w:r>
        <w:rPr/>
        <w:t>A lack of source discriminability for unrecognized items has been replicated numerous times (Bell, Mieth, &amp; Buchner, 2017; Malejka &amp; Broder, 2016; Onyper, Zhang, &amp; Howard, 2010), although these studies often employed a procedure where item and source ratings were obtained in the same test trials. When item recognition and source memory tests were in separate blocks, Osth, Fox, McKague, Heathcote, and Dennis (2018) observed reliable source memory for unrecognized items, but discriminability was still low (</w:t>
      </w:r>
      <w:r>
        <w:rPr>
          <w:i/>
        </w:rPr>
        <w:t>d’</w:t>
      </w:r>
      <w:r>
        <w:rPr/>
        <w:t xml:space="preserve"> ~ 0.1). </w:t>
      </w:r>
    </w:p>
    <w:p>
      <w:pPr>
        <w:pStyle w:val="Normal"/>
        <w:ind w:firstLine="720"/>
        <w:rPr/>
      </w:pPr>
      <w:r>
        <w:rP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pPr>
        <w:pStyle w:val="Heading1"/>
        <w:keepNext w:val="false"/>
        <w:keepLines w:val="false"/>
        <w:spacing w:before="400" w:after="120"/>
        <w:rPr/>
      </w:pPr>
      <w:bookmarkStart w:id="4" w:name="_gxcmt29elagg"/>
      <w:bookmarkEnd w:id="4"/>
      <w:r>
        <w:rPr/>
        <w:t>Insights from Models of Decision-Making</w:t>
      </w:r>
    </w:p>
    <w:p>
      <w:pPr>
        <w:pStyle w:val="Normal"/>
        <w:ind w:firstLine="720"/>
        <w:rPr/>
      </w:pPr>
      <w:r>
        <w:rPr/>
        <w:t xml:space="preserve">In completing a source or recognition memory task, not only do participants need to retrieve information from memory, they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Starns, Rotello &amp; Ratcliff, 2012; Osth, Bora, Dennis, &amp; Heathcote, 2017; Osth &amp; Farrell, 2019; Ratcliff &amp; Starns, 2013; Starns, Ratcliff, &amp; McKoon, 2012). </w:t>
      </w:r>
    </w:p>
    <w:p>
      <w:pPr>
        <w:pStyle w:val="Normal"/>
        <w:ind w:firstLine="720"/>
        <w:rPr/>
      </w:pPr>
      <w:r>
        <w:rPr/>
        <w:t>Diffusion models have emerged as increasingly influential accounts of decision processes which predict both RT and response accuracy, and which naturally explain well-documented phenomena like the speed-accuracy trade-off (Ratcliff, Smith, Brown &amp; McKoon, 2016).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(Osth, Jansson, Dennis, &amp; Heathcote, 2018; Smith &amp; Ratcliff, 2009). In the most common form of the diffusion model (Ratcliff, 1978; Ratcliff &amp; McKoon,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pPr>
        <w:pStyle w:val="Normal"/>
        <w:keepNext w:val="true"/>
        <w:ind w:firstLine="720"/>
        <w:rPr/>
      </w:pPr>
      <w:r>
        <w:rPr/>
        <w:drawing>
          <wp:inline distT="0" distB="0" distL="0" distR="0">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2"/>
                    <a:stretch>
                      <a:fillRect/>
                    </a:stretch>
                  </pic:blipFill>
                  <pic:spPr bwMode="auto">
                    <a:xfrm>
                      <a:off x="0" y="0"/>
                      <a:ext cx="5439410" cy="4210050"/>
                    </a:xfrm>
                    <a:prstGeom prst="rect">
                      <a:avLst/>
                    </a:prstGeom>
                  </pic:spPr>
                </pic:pic>
              </a:graphicData>
            </a:graphic>
          </wp:inline>
        </w:drawing>
      </w:r>
    </w:p>
    <w:p>
      <w:pPr>
        <w:pStyle w:val="Caption1"/>
        <w:rPr/>
      </w:pPr>
      <w:r>
        <w:rPr>
          <w:i w:val="false"/>
          <w:color w:val="auto"/>
          <w:sz w:val="24"/>
          <w:szCs w:val="24"/>
        </w:rPr>
        <w:t xml:space="preserve">Figure </w:t>
      </w:r>
      <w:r>
        <w:rPr>
          <w:i w:val="false"/>
          <w:sz w:val="24"/>
          <w:szCs w:val="24"/>
        </w:rPr>
        <w:fldChar w:fldCharType="begin"/>
      </w:r>
      <w:r>
        <w:rPr>
          <w:sz w:val="24"/>
          <w:i w:val="false"/>
          <w:szCs w:val="24"/>
        </w:rPr>
        <w:instrText> SEQ Figure \* ARABIC </w:instrText>
      </w:r>
      <w:r>
        <w:rPr>
          <w:sz w:val="24"/>
          <w:i w:val="false"/>
          <w:szCs w:val="24"/>
        </w:rPr>
        <w:fldChar w:fldCharType="separate"/>
      </w:r>
      <w:r>
        <w:rPr>
          <w:sz w:val="24"/>
          <w:i w:val="false"/>
          <w:szCs w:val="24"/>
        </w:rPr>
        <w:t>1</w:t>
      </w:r>
      <w:r>
        <w:rPr>
          <w:sz w:val="24"/>
          <w:i w:val="false"/>
          <w:szCs w:val="24"/>
        </w:rPr>
        <w:fldChar w:fldCharType="end"/>
      </w:r>
      <w:r>
        <w:rPr>
          <w:i w:val="false"/>
          <w:color w:val="auto"/>
          <w:sz w:val="24"/>
          <w:szCs w:val="24"/>
        </w:rPr>
        <w:t>.</w:t>
      </w:r>
      <w:r>
        <w:rPr>
          <w:color w:val="auto"/>
          <w:sz w:val="24"/>
          <w:szCs w:val="24"/>
        </w:rPr>
        <w:t xml:space="preserve"> </w:t>
      </w:r>
      <w:r>
        <w:rPr>
          <w:i w:val="false"/>
          <w:iCs w:val="false"/>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false"/>
          <w:iCs w:val="false"/>
          <w:color w:val="auto"/>
          <w:sz w:val="24"/>
          <w:szCs w:val="24"/>
        </w:rPr>
        <w:t xml:space="preserve"> or </w:t>
      </w:r>
      <w:r>
        <w:rPr>
          <w:color w:val="auto"/>
          <w:sz w:val="24"/>
          <w:szCs w:val="24"/>
        </w:rPr>
        <w:t>R</w:t>
      </w:r>
      <w:r>
        <w:rPr>
          <w:color w:val="auto"/>
          <w:sz w:val="24"/>
          <w:szCs w:val="24"/>
          <w:vertAlign w:val="subscript"/>
        </w:rPr>
        <w:t>b</w:t>
      </w:r>
      <w:r>
        <w:rPr>
          <w:i w:val="false"/>
          <w:iCs w:val="false"/>
          <w:color w:val="auto"/>
          <w:sz w:val="24"/>
          <w:szCs w:val="24"/>
          <w:vertAlign w:val="subscript"/>
        </w:rPr>
        <w:t>.</w:t>
      </w:r>
      <w:r>
        <w:rPr>
          <w:i w:val="false"/>
          <w:iCs w:val="false"/>
          <w:color w:val="auto"/>
          <w:sz w:val="24"/>
          <w:szCs w:val="24"/>
        </w:rPr>
        <w:t xml:space="preserve"> The starting point is </w:t>
      </w:r>
      <w:r>
        <w:rPr>
          <w:color w:val="auto"/>
          <w:sz w:val="24"/>
          <w:szCs w:val="24"/>
        </w:rPr>
        <w:t>z</w:t>
      </w:r>
      <w:r>
        <w:rPr>
          <w:i w:val="false"/>
          <w:iCs w:val="false"/>
          <w:color w:val="auto"/>
          <w:sz w:val="24"/>
          <w:szCs w:val="24"/>
        </w:rPr>
        <w:t xml:space="preserve"> and the boundaries are located at 0 and </w:t>
      </w:r>
      <w:r>
        <w:rPr>
          <w:color w:val="auto"/>
          <w:sz w:val="24"/>
          <w:szCs w:val="24"/>
        </w:rPr>
        <w:t xml:space="preserve">a. </w:t>
      </w:r>
      <w:r>
        <w:rPr>
          <w:i w:val="false"/>
          <w:iCs w:val="false"/>
          <w:color w:val="auto"/>
          <w:sz w:val="24"/>
          <w:szCs w:val="24"/>
        </w:rPr>
        <w:t xml:space="preserve">The first boundary reached determines the response and the time taken to reach it determines the decision time. </w:t>
      </w:r>
      <w:r>
        <w:rPr>
          <w:i w:val="false"/>
          <w:color w:val="auto"/>
          <w:sz w:val="24"/>
          <w:szCs w:val="24"/>
        </w:rPr>
        <w:t xml:space="preserve"> The rate at which evidence accumulates is the drift rate, which is normally distributed across trials with standard deviation</w:t>
      </w:r>
      <w:r>
        <w:rPr>
          <w:i w:val="false"/>
          <w:color w:val="auto"/>
          <w:sz w:val="24"/>
          <w:szCs w:val="24"/>
          <w:vertAlign w:val="subscript"/>
        </w:rPr>
        <w:t xml:space="preserve"> </w:t>
      </w:r>
      <w:r>
        <w:rPr>
          <w:color w:val="auto"/>
          <w:sz w:val="24"/>
          <w:szCs w:val="24"/>
        </w:rPr>
        <w:t>η</w:t>
      </w:r>
      <w:r>
        <w:rPr>
          <w:i w:val="false"/>
          <w:color w:val="auto"/>
          <w:sz w:val="24"/>
          <w:szCs w:val="24"/>
        </w:rPr>
        <w:t>.</w:t>
      </w:r>
    </w:p>
    <w:p>
      <w:pPr>
        <w:pStyle w:val="Normal"/>
        <w:rPr/>
      </w:pPr>
      <w:r>
        <w:rPr/>
      </w:r>
    </w:p>
    <w:p>
      <w:pPr>
        <w:pStyle w:val="Normal"/>
        <w:ind w:firstLine="720"/>
        <w:rPr/>
      </w:pPr>
      <w:r>
        <w:rP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The rate of evidence accumulation on any trial is known as the drift rate. Drift rates can vary across trials, with high drift rate trials resulting in high accuracy and fast RTs, while trials with lower drift rates result in slower and less accurate responses (Ratcliff, Smith &amp; McKoon, 2015). </w:t>
        <w:br/>
        <w:tab/>
        <w:t xml:space="preserve">When the drift rate varies between trials, then the mean RT for correct responses will be shorter than mean RT for errors. This is because most error responses come from trials with low drift rates, which have </w:t>
      </w:r>
      <w:del w:id="143" w:author="Unknown Author" w:date="2020-04-15T10:28:38Z">
        <w:r>
          <w:rPr/>
          <w:delText>slow</w:delText>
        </w:r>
      </w:del>
      <w:r>
        <w:rPr/>
        <w:t xml:space="preserve"> </w:t>
      </w:r>
      <w:ins w:id="144" w:author="Unknown Author" w:date="2020-04-15T10:28:33Z">
        <w:r>
          <w:rPr/>
          <w:t xml:space="preserve">long </w:t>
        </w:r>
      </w:ins>
      <w:r>
        <w:rPr/>
        <w:t xml:space="preserve">RTs, while most correct responses come from trials with high drift rates, which have </w:t>
      </w:r>
      <w:del w:id="145" w:author="Unknown Author" w:date="2020-04-15T10:28:42Z">
        <w:r>
          <w:rPr/>
          <w:delText>fast</w:delText>
        </w:r>
      </w:del>
      <w:r>
        <w:rPr/>
        <w:t xml:space="preserve"> </w:t>
      </w:r>
      <w:ins w:id="146" w:author="Unknown Author" w:date="2020-04-15T10:28:46Z">
        <w:r>
          <w:rPr/>
          <w:t xml:space="preserve">short </w:t>
        </w:r>
      </w:ins>
      <w:r>
        <w:rPr/>
        <w:t>RTs. Without this variability, correct and error RT distributions will be the same; it is only when drift rates vary between trials that the model predicts this</w:t>
      </w:r>
      <w:ins w:id="147" w:author="Unknown Author" w:date="2020-04-15T10:29:22Z">
        <w:r>
          <w:rPr/>
          <w:t xml:space="preserve"> </w:t>
        </w:r>
      </w:ins>
      <w:ins w:id="148" w:author="Unknown Author" w:date="2020-04-15T10:29:22Z">
        <w:r>
          <w:rPr/>
          <w:t>ordering.</w:t>
        </w:r>
      </w:ins>
      <w:r>
        <w:rPr/>
        <w:t xml:space="preserve"> </w:t>
      </w:r>
      <w:del w:id="149" w:author="Unknown Author" w:date="2020-04-15T10:29:14Z">
        <w:r>
          <w:rPr/>
          <w:delText>slow error pattern.</w:delText>
        </w:r>
      </w:del>
      <w:r>
        <w:rPr/>
        <w:t xml:space="preserve"> This phenomenon, known as a </w:t>
      </w:r>
      <w:r>
        <w:rPr>
          <w:i/>
        </w:rPr>
        <w:t xml:space="preserve">slow error </w:t>
      </w:r>
      <w:r>
        <w:rPr/>
        <w:t>pattern,</w:t>
      </w:r>
      <w:r>
        <w:rPr>
          <w:i/>
        </w:rPr>
        <w:t xml:space="preserve"> </w:t>
      </w:r>
      <w:r>
        <w:rPr/>
        <w:t xml:space="preserve">has been reliably observed when decision making is difficult (Luce, 1986; Ratcliff et al., 2016). </w:t>
      </w:r>
      <w:ins w:id="150" w:author="Unknown Author" w:date="2020-03-30T11:09:00Z">
        <w:r>
          <w:rPr/>
          <w:t xml:space="preserve"> </w:t>
        </w:r>
      </w:ins>
    </w:p>
    <w:p>
      <w:pPr>
        <w:pStyle w:val="Normal"/>
        <w:ind w:firstLine="720"/>
        <w:rPr/>
      </w:pPr>
      <w:r>
        <w:rPr/>
        <w:t xml:space="preserve"> </w:t>
      </w:r>
      <w:r>
        <w:rPr/>
        <w:t xml:space="preserve">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rPr/>
        <w:t xml:space="preserve">, that represents the encoded stimulus identity, and a length, or </w:t>
      </w:r>
      <w:r>
        <w:rPr>
          <w:i/>
          <w:iCs/>
          <w:rPrChange w:id="0" w:author="Unknown Author" w:date="2020-04-15T10:30:01Z"/>
        </w:rPr>
        <w:t>norm,</w:t>
      </w:r>
      <w:r>
        <w:rPr/>
        <w:t xml:space="preserve"> which represents the encoded stimulus quality.  When a response is made, the magnitude of the drift vector determines RT in the same way as does the scalar drift rate does in the standard Ratcliff model, while the point at which the evidence accumulation process exits the circle determines the response outcome.</w:t>
      </w:r>
    </w:p>
    <w:p>
      <w:pPr>
        <w:pStyle w:val="Normal"/>
        <w:ind w:firstLine="720"/>
        <w:rPr/>
      </w:pPr>
      <w:r>
        <w:rPr/>
      </w:r>
    </w:p>
    <w:p>
      <w:pPr>
        <w:pStyle w:val="Normal"/>
        <w:keepNext w:val="true"/>
        <w:jc w:val="center"/>
        <w:rPr/>
      </w:pPr>
      <w:r>
        <w:rPr/>
        <w:drawing>
          <wp:inline distT="0" distB="0" distL="0" distR="0">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3"/>
                    <a:stretch>
                      <a:fillRect/>
                    </a:stretch>
                  </pic:blipFill>
                  <pic:spPr bwMode="auto">
                    <a:xfrm>
                      <a:off x="0" y="0"/>
                      <a:ext cx="4637405" cy="3405505"/>
                    </a:xfrm>
                    <a:prstGeom prst="rect">
                      <a:avLst/>
                    </a:prstGeom>
                  </pic:spPr>
                </pic:pic>
              </a:graphicData>
            </a:graphic>
          </wp:inline>
        </w:drawing>
      </w:r>
      <w:r>
        <w:rPr/>
        <w:t xml:space="preserve"> </w:t>
      </w:r>
    </w:p>
    <w:p>
      <w:pPr>
        <w:pStyle w:val="Caption1"/>
        <w:rPr/>
      </w:pPr>
      <w:r>
        <w:rPr>
          <w:i w:val="false"/>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false"/>
          <w:iCs w:val="false"/>
          <w:color w:val="auto"/>
          <w:sz w:val="24"/>
          <w:szCs w:val="24"/>
        </w:rPr>
        <w:t xml:space="preserve"> represents the decision criterion. Evidence is accumulated starting at the origin until the process hits the bounding circle. The hitting point, </w:t>
      </w:r>
      <w:r>
        <w:rPr>
          <w:rStyle w:val="Math"/>
          <w:i w:val="false"/>
          <w:iCs w:val="false"/>
          <w:color w:val="auto"/>
          <w:sz w:val="24"/>
          <w:szCs w:val="24"/>
        </w:rPr>
        <w:t>X</w:t>
      </w:r>
      <w:r>
        <w:rPr>
          <w:rStyle w:val="Tgc"/>
          <w:i w:val="false"/>
          <w:iCs w:val="false"/>
          <w:color w:val="auto"/>
          <w:sz w:val="24"/>
          <w:szCs w:val="24"/>
          <w:vertAlign w:val="subscript"/>
        </w:rPr>
        <w:t>θ</w:t>
      </w:r>
      <w:r>
        <w:rPr>
          <w:rStyle w:val="Tgc"/>
          <w:i w:val="false"/>
          <w:iCs w:val="false"/>
          <w:color w:val="auto"/>
          <w:sz w:val="24"/>
          <w:szCs w:val="24"/>
        </w:rPr>
        <w:t xml:space="preserve">, is the decision outcome and the hitting time, </w:t>
      </w:r>
      <w:r>
        <w:rPr>
          <w:rStyle w:val="Math"/>
          <w:i w:val="false"/>
          <w:iCs w:val="false"/>
          <w:color w:val="auto"/>
          <w:sz w:val="24"/>
          <w:szCs w:val="24"/>
        </w:rPr>
        <w:t>T</w:t>
      </w:r>
      <w:r>
        <w:rPr>
          <w:rStyle w:val="Math"/>
          <w:i w:val="false"/>
          <w:iCs w:val="false"/>
          <w:color w:val="auto"/>
          <w:sz w:val="24"/>
          <w:szCs w:val="24"/>
          <w:vertAlign w:val="subscript"/>
        </w:rPr>
        <w:t>a</w:t>
      </w:r>
      <w:r>
        <w:rPr>
          <w:rStyle w:val="Math"/>
          <w:i w:val="false"/>
          <w:iCs w:val="false"/>
          <w:color w:val="auto"/>
          <w:sz w:val="24"/>
          <w:szCs w:val="24"/>
        </w:rPr>
        <w:t xml:space="preserve">,is the decision time. The drift rate is vector-valued and consists of two components, </w:t>
      </w:r>
      <w:r>
        <w:rPr>
          <w:rStyle w:val="Tgc"/>
          <w:i w:val="false"/>
          <w:color w:val="auto"/>
          <w:sz w:val="24"/>
          <w:szCs w:val="24"/>
        </w:rPr>
        <w:t>(μ</w:t>
      </w:r>
      <w:r>
        <w:rPr>
          <w:rStyle w:val="Tgc"/>
          <w:i w:val="false"/>
          <w:color w:val="auto"/>
          <w:sz w:val="24"/>
          <w:szCs w:val="24"/>
          <w:vertAlign w:val="subscript"/>
        </w:rPr>
        <w:t xml:space="preserve">1, </w:t>
      </w:r>
      <w:r>
        <w:rPr>
          <w:rStyle w:val="Tgc"/>
          <w:i w:val="false"/>
          <w:color w:val="auto"/>
          <w:sz w:val="24"/>
          <w:szCs w:val="24"/>
        </w:rPr>
        <w:t>μ</w:t>
      </w:r>
      <w:r>
        <w:rPr>
          <w:rStyle w:val="Tgc"/>
          <w:i w:val="false"/>
          <w:color w:val="auto"/>
          <w:sz w:val="24"/>
          <w:szCs w:val="24"/>
          <w:vertAlign w:val="subscript"/>
        </w:rPr>
        <w:t>2</w:t>
      </w:r>
      <w:r>
        <w:rPr>
          <w:rStyle w:val="Tgc"/>
          <w:i w:val="false"/>
          <w:color w:val="auto"/>
          <w:sz w:val="24"/>
          <w:szCs w:val="24"/>
        </w:rPr>
        <w:t xml:space="preserve">), which jointly specify its magnitude and direction. In polar coordinates the magnitude is represented by the drift norm </w:t>
      </w:r>
      <w:r>
        <w:rPr>
          <w:rStyle w:val="Math"/>
          <w:i w:val="false"/>
          <w:color w:val="auto"/>
          <w:sz w:val="24"/>
          <w:szCs w:val="24"/>
        </w:rPr>
        <w:t>||</w:t>
      </w:r>
      <w:r>
        <w:rPr>
          <w:rStyle w:val="Tgc"/>
          <w:i w:val="false"/>
          <w:color w:val="auto"/>
          <w:sz w:val="24"/>
          <w:szCs w:val="24"/>
        </w:rPr>
        <w:t>μ</w:t>
      </w:r>
      <w:r>
        <w:rPr>
          <w:rStyle w:val="Math"/>
          <w:i w:val="false"/>
          <w:color w:val="auto"/>
          <w:sz w:val="24"/>
          <w:szCs w:val="24"/>
        </w:rPr>
        <w:t xml:space="preserve">|| and direction is represented by the phase angle </w:t>
      </w:r>
      <w:r>
        <w:rPr>
          <w:rStyle w:val="Tgc"/>
          <w:i w:val="false"/>
          <w:color w:val="auto"/>
          <w:sz w:val="24"/>
          <w:szCs w:val="24"/>
        </w:rPr>
        <w:t>θ</w:t>
      </w:r>
      <w:r>
        <w:rPr>
          <w:rStyle w:val="Tgc"/>
          <w:i w:val="false"/>
          <w:color w:val="auto"/>
          <w:sz w:val="24"/>
          <w:szCs w:val="24"/>
          <w:vertAlign w:val="subscript"/>
        </w:rPr>
        <w:t>μ</w:t>
      </w:r>
      <w:r>
        <w:rPr>
          <w:rStyle w:val="Tgc"/>
          <w:i w:val="false"/>
          <w:color w:val="auto"/>
          <w:sz w:val="24"/>
          <w:szCs w:val="24"/>
        </w:rPr>
        <w:t xml:space="preserve"> The noisy sample path represents evidence accumulation on a single experimental trial. </w:t>
      </w:r>
      <w:r>
        <w:rPr>
          <w:rStyle w:val="Math"/>
          <w:i w:val="false"/>
          <w:color w:val="auto"/>
          <w:sz w:val="24"/>
          <w:szCs w:val="24"/>
        </w:rPr>
        <w:t xml:space="preserve">From P. L. Smith (2016). “Diffusion theory of decision making in continuous report’ </w:t>
      </w:r>
      <w:r>
        <w:rPr>
          <w:iCs w:val="false"/>
          <w:color w:val="auto"/>
          <w:sz w:val="24"/>
          <w:szCs w:val="24"/>
        </w:rPr>
        <w:t>Psychological review</w:t>
      </w:r>
      <w:r>
        <w:rPr>
          <w:color w:val="auto"/>
          <w:sz w:val="24"/>
          <w:szCs w:val="24"/>
        </w:rPr>
        <w:t xml:space="preserve">, </w:t>
      </w:r>
      <w:r>
        <w:rPr>
          <w:iCs w:val="false"/>
          <w:color w:val="auto"/>
          <w:sz w:val="24"/>
          <w:szCs w:val="24"/>
        </w:rPr>
        <w:t>123</w:t>
      </w:r>
      <w:r>
        <w:rPr>
          <w:i w:val="false"/>
          <w:color w:val="auto"/>
          <w:sz w:val="24"/>
          <w:szCs w:val="24"/>
        </w:rPr>
        <w:t>, 425-451</w:t>
      </w:r>
      <w:r>
        <w:rPr>
          <w:color w:val="auto"/>
          <w:sz w:val="24"/>
          <w:szCs w:val="24"/>
        </w:rPr>
        <w:t xml:space="preserve">. </w:t>
      </w:r>
      <w:r>
        <w:rPr>
          <w:i w:val="false"/>
          <w:iCs w:val="false"/>
          <w:color w:val="auto"/>
          <w:sz w:val="24"/>
          <w:szCs w:val="24"/>
        </w:rPr>
        <w:t xml:space="preserve">Figure 2. Copyright American Psychological Association. </w:t>
      </w:r>
    </w:p>
    <w:p>
      <w:pPr>
        <w:pStyle w:val="Normal"/>
        <w:rPr/>
      </w:pPr>
      <w:r>
        <w:rPr/>
      </w:r>
    </w:p>
    <w:p>
      <w:pPr>
        <w:pStyle w:val="Normal"/>
        <w:ind w:firstLine="720"/>
        <w:rPr/>
      </w:pPr>
      <w:r>
        <w:rPr/>
        <w:t>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across-trial variability in drift rates, the model predicts that accurate responses will be faster than inaccurate responses. When there is across-trial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across-trial variability in drift rate and starting point, respectively.</w:t>
      </w:r>
    </w:p>
    <w:p>
      <w:pPr>
        <w:pStyle w:val="Normal"/>
        <w:ind w:firstLine="720"/>
        <w:rPr/>
      </w:pPr>
      <w:r>
        <w:rP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br/>
      </w:r>
      <w:r>
        <w:rPr/>
      </w:r>
      <m:oMath xmlns:m="http://schemas.openxmlformats.org/officeDocument/2006/math">
        <m:r>
          <w:rPr>
            <w:rFonts w:ascii="Cambria Math" w:hAnsi="Cambria Math"/>
          </w:rPr>
          <m:t xml:space="preserve">κ</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μ</m:t>
            </m:r>
            <m:r>
              <w:rPr>
                <w:rFonts w:ascii="Cambria Math" w:hAnsi="Cambria Math"/>
              </w:rPr>
              <m:t xml:space="preserv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oMath>
    </w:p>
    <w:p>
      <w:pPr>
        <w:pStyle w:val="Normal"/>
        <w:rPr/>
      </w:pPr>
      <w:r>
        <w:rP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pPr>
        <w:pStyle w:val="Normal"/>
        <w:ind w:firstLine="720"/>
        <w:rPr/>
      </w:pPr>
      <w:r>
        <w:rPr/>
        <w:t xml:space="preserve">Smith (2016) </w:t>
      </w:r>
      <w:del w:id="152" w:author="Unknown Author" w:date="2020-04-15T10:31:09Z">
        <w:r>
          <w:rPr/>
          <w:delText>demonstrated</w:delText>
        </w:r>
      </w:del>
      <w:r>
        <w:rPr/>
        <w:t xml:space="preserve"> </w:t>
      </w:r>
      <w:ins w:id="153" w:author="Unknown Author" w:date="2020-04-15T10:31:10Z">
        <w:r>
          <w:rPr/>
          <w:t xml:space="preserve">showed </w:t>
        </w:r>
      </w:ins>
      <w:r>
        <w:rPr/>
        <w:t xml:space="preserve">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Awh, &amp; Ma, 2014).  Harlow and Donaldson </w:t>
      </w:r>
      <w:ins w:id="154" w:author="Jason Zhou" w:date="2020-04-10T15:51:00Z">
        <w:r>
          <w:rPr/>
          <w:t xml:space="preserve">(2013) </w:t>
        </w:r>
      </w:ins>
      <w:r>
        <w:rPr/>
        <w:t xml:space="preserve">interpreted these kinds of distributions as evidence of an underlying memory retrieval threshold. </w:t>
      </w:r>
      <w:del w:id="155" w:author="Jason Zhou" w:date="2020-04-10T15:51:00Z">
        <w:r>
          <w:rPr/>
          <w:delText xml:space="preserve"> </w:delText>
        </w:r>
      </w:del>
      <w:r>
        <w:rPr/>
        <w:t>Following van den Berg et al.</w:t>
      </w:r>
      <w:ins w:id="156" w:author="Jason Zhou" w:date="2020-04-10T15:52:00Z">
        <w:r>
          <w:rPr/>
          <w:t xml:space="preserve"> (2012)</w:t>
        </w:r>
      </w:ins>
      <w:r>
        <w:rPr/>
        <w:t>, we consider whether heavy-tailed distributions may instead reflect a mixture of trials with high and low drift rates.</w:t>
      </w:r>
    </w:p>
    <w:p>
      <w:pPr>
        <w:pStyle w:val="Normal"/>
        <w:ind w:firstLine="720"/>
        <w:rPr/>
      </w:pPr>
      <w:ins w:id="157" w:author="Jason Zhou" w:date="2020-04-10T15:55:00Z">
        <w:commentRangeStart w:id="6"/>
        <w:r>
          <w:rPr/>
          <w:t>We propose a</w:t>
        </w:r>
      </w:ins>
      <w:ins w:id="158" w:author="Jason Zhou" w:date="2020-04-10T15:54:00Z">
        <w:r>
          <w:rPr/>
          <w:t xml:space="preserve"> model which accounts for </w:t>
        </w:r>
      </w:ins>
      <w:ins w:id="159" w:author="Jason Zhou" w:date="2020-04-10T15:55:00Z">
        <w:r>
          <w:rPr/>
          <w:t>the leptokurtic source error distribution observed by Harlow and Donaldson (2013) through</w:t>
        </w:r>
      </w:ins>
      <w:ins w:id="160" w:author="Jason Zhou" w:date="2020-04-10T15:53:00Z">
        <w:r>
          <w:rPr/>
          <w:t xml:space="preserve"> </w:t>
        </w:r>
      </w:ins>
      <w:ins w:id="161" w:author="Unknown Author" w:date="2020-04-15T10:31:54Z">
        <w:r>
          <w:rPr/>
          <w:t xml:space="preserve">a </w:t>
        </w:r>
      </w:ins>
      <w:ins w:id="162" w:author="Jason Zhou" w:date="2020-04-10T15:53:00Z">
        <w:r>
          <w:rPr/>
          <w:t>mixture of high and low drift rates</w:t>
        </w:r>
      </w:ins>
      <w:ins w:id="163" w:author="Jason Zhou" w:date="2020-04-10T15:57:00Z">
        <w:r>
          <w:rPr/>
          <w:t xml:space="preserve"> in a single diffusion process</w:t>
        </w:r>
      </w:ins>
      <w:ins w:id="164" w:author="Jason Zhou" w:date="2020-04-10T15:53:00Z">
        <w:r>
          <w:rPr/>
          <w:t>, reflecting variability in memory precision</w:t>
        </w:r>
      </w:ins>
      <w:ins w:id="165" w:author="Jason Zhou" w:date="2020-04-10T15:56:00Z">
        <w:r>
          <w:rPr/>
          <w:t xml:space="preserve">, which we refer to as a </w:t>
        </w:r>
      </w:ins>
      <w:ins w:id="166" w:author="Jason Zhou" w:date="2020-04-10T15:56:00Z">
        <w:r>
          <w:rPr>
            <w:i/>
            <w:iCs/>
          </w:rPr>
          <w:t>variable-precision</w:t>
        </w:r>
      </w:ins>
      <w:ins w:id="167" w:author="Jason Zhou" w:date="2020-04-10T15:56:00Z">
        <w:r>
          <w:rPr/>
          <w:t xml:space="preserve"> model. </w:t>
        </w:r>
      </w:ins>
      <w:ins w:id="168" w:author="Jason Zhou" w:date="2020-04-10T15:57:00Z">
        <w:r>
          <w:rPr/>
          <w:t>We compare this to a circular diffusion analog of the t</w:t>
        </w:r>
      </w:ins>
      <w:ins w:id="169" w:author="Jason Zhou" w:date="2020-04-10T15:58:00Z">
        <w:r>
          <w:rPr/>
          <w:t>hreshold model which instead has two diffusion processes, one process with positive drift norm, and a second with zero drift, representing discrete memory-driven and guessing states respectively.</w:t>
        </w:r>
      </w:ins>
      <w:ins w:id="170" w:author="Unknown Author" w:date="2020-04-15T10:31:55Z">
        <w:r>
          <w:rPr/>
          <w:t xml:space="preserve"> </w:t>
        </w:r>
      </w:ins>
      <w:ins w:id="171" w:author="Unknown Author" w:date="2020-04-15T10:31:55Z">
        <w:r>
          <w:rPr/>
          <w:t>[Yes, OK]</w:t>
        </w:r>
      </w:ins>
      <w:commentRangeEnd w:id="6"/>
      <w:r>
        <w:commentReference w:id="6"/>
      </w:r>
      <w:r>
        <w:rPr/>
      </w:r>
    </w:p>
    <w:p>
      <w:pPr>
        <w:pStyle w:val="Heading1"/>
        <w:keepNext w:val="false"/>
        <w:keepLines w:val="false"/>
        <w:spacing w:before="400" w:after="120"/>
        <w:rPr/>
      </w:pPr>
      <w:bookmarkStart w:id="5" w:name="_rssa32cjxjce"/>
      <w:bookmarkEnd w:id="5"/>
      <w:r>
        <w:rPr/>
        <w:t>The Present Study</w:t>
      </w:r>
    </w:p>
    <w:p>
      <w:pPr>
        <w:pStyle w:val="Normal"/>
        <w:rPr/>
      </w:pPr>
      <w:r>
        <w:rP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w:t>
      </w:r>
      <w:ins w:id="172" w:author="Jason Zhou" w:date="2020-04-10T15:46:00Z">
        <w:r>
          <w:rPr/>
          <w:t xml:space="preserve"> To allow for a more direct comparison of our results with the Harlow and Donaldson (2013) findings, we adhere closely to th</w:t>
        </w:r>
      </w:ins>
      <w:ins w:id="173" w:author="Jason Zhou" w:date="2020-04-10T15:47:00Z">
        <w:r>
          <w:rPr/>
          <w:t xml:space="preserve">eir experimental paradigm </w:t>
        </w:r>
      </w:ins>
      <w:ins w:id="174" w:author="Jason Zhou" w:date="2020-04-10T15:48:00Z">
        <w:r>
          <w:rPr/>
          <w:t>where possible</w:t>
        </w:r>
      </w:ins>
      <w:ins w:id="175" w:author="Jason Zhou" w:date="2020-04-10T15:47:00Z">
        <w:r>
          <w:rPr/>
          <w:t>, particularly in terms of stimulus presentation where items are not presented in the actual sour</w:t>
        </w:r>
      </w:ins>
      <w:ins w:id="176" w:author="Jason Zhou" w:date="2020-04-10T15:48:00Z">
        <w:r>
          <w:rPr/>
          <w:t>ce, and source and item are instead presented sequentially.</w:t>
        </w:r>
      </w:ins>
      <w:ins w:id="177" w:author="Unknown Author" w:date="2020-04-15T10:32:44Z">
        <w:r>
          <w:rPr/>
          <w:t xml:space="preserve"> </w:t>
        </w:r>
      </w:ins>
      <w:ins w:id="178" w:author="Unknown Author" w:date="2020-04-15T10:32:44Z">
        <w:r>
          <w:rPr/>
          <w:t>[This seems a bit too apologetic?</w:t>
        </w:r>
      </w:ins>
      <w:ins w:id="179" w:author="Unknown Author" w:date="2020-04-15T10:33:01Z">
        <w:r>
          <w:rPr/>
          <w:t>[ In order to make our results comparable to those of Harlowe and Donaldson (2013), we presented the source and item information on each trial in the same way as they did.</w:t>
        </w:r>
      </w:ins>
    </w:p>
    <w:p>
      <w:pPr>
        <w:pStyle w:val="Normal"/>
        <w:widowControl w:val="false"/>
        <w:ind w:firstLine="720"/>
        <w:rPr/>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pPr>
        <w:pStyle w:val="Normal"/>
        <w:ind w:firstLine="720"/>
        <w:rPr/>
      </w:pPr>
      <w:r>
        <w:rP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w:t>
      </w:r>
      <w:del w:id="180" w:author="Unknown Author" w:date="2020-04-15T10:36:48Z">
        <w:r>
          <w:rPr/>
          <w:delText>it</w:delText>
        </w:r>
      </w:del>
      <w:r>
        <w:rPr/>
        <w:t xml:space="preserve"> </w:t>
      </w:r>
      <w:ins w:id="181" w:author="Unknown Author" w:date="2020-04-15T10:37:28Z">
        <w:r>
          <w:rPr/>
          <w:t xml:space="preserve">they </w:t>
        </w:r>
      </w:ins>
      <w:r>
        <w:rPr/>
        <w:t xml:space="preserve">affected source memory, but we found </w:t>
      </w:r>
      <w:ins w:id="182" w:author="Unknown Author" w:date="2020-04-15T10:36:53Z">
        <w:r>
          <w:rPr/>
          <w:t xml:space="preserve">their </w:t>
        </w:r>
      </w:ins>
      <w:del w:id="183" w:author="Unknown Author" w:date="2020-04-15T10:36:55Z">
        <w:r>
          <w:rPr/>
          <w:delText>its</w:delText>
        </w:r>
      </w:del>
      <w:r>
        <w:rPr/>
        <w:t xml:space="preserve"> effects were negligible. We retained the imageability/concreteness factor in our modeling of experimental data, but we pooled across levels of it in our presentation of results for the sake of clarity and compactness.</w:t>
      </w:r>
      <w:ins w:id="184" w:author="Jason Zhou" w:date="2020-04-10T15:46:00Z">
        <w:r>
          <w:rPr/>
          <w:t xml:space="preserve"> </w:t>
        </w:r>
      </w:ins>
    </w:p>
    <w:p>
      <w:pPr>
        <w:pStyle w:val="Heading1"/>
        <w:keepNext w:val="false"/>
        <w:keepLines w:val="false"/>
        <w:spacing w:before="480" w:after="0"/>
        <w:jc w:val="center"/>
        <w:rPr/>
      </w:pPr>
      <w:bookmarkStart w:id="6" w:name="_eawqgxqap5js"/>
      <w:bookmarkStart w:id="7" w:name="_p20i55x987we"/>
      <w:bookmarkEnd w:id="6"/>
      <w:bookmarkEnd w:id="7"/>
      <w:r>
        <w:rPr/>
        <w:t>Method</w:t>
      </w:r>
    </w:p>
    <w:p>
      <w:pPr>
        <w:pStyle w:val="Heading2"/>
        <w:rPr/>
      </w:pPr>
      <w:bookmarkStart w:id="8" w:name="_18qzotez331d"/>
      <w:bookmarkEnd w:id="8"/>
      <w:r>
        <w:rPr/>
        <w:t>Stimuli and apparatus</w:t>
      </w:r>
    </w:p>
    <w:p>
      <w:pPr>
        <w:pStyle w:val="Normal"/>
        <w:rPr/>
      </w:pPr>
      <w:r>
        <w:rPr/>
        <w:t xml:space="preserve">    </w:t>
      </w:r>
      <w:r>
        <w:rPr/>
        <w:tab/>
        <w:t>Stimuli were presented on a 20’’ Dell 2009W LDC Monitor, set with a screen refresh rate of 60 Hz. Software written in MATLAB using PsychToolbox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ins w:id="185" w:author="Unknown Author" w:date="2020-04-15T10:38:02Z">
        <w:r>
          <w:rPr/>
          <w:t xml:space="preserve"> </w:t>
        </w:r>
      </w:ins>
    </w:p>
    <w:p>
      <w:pPr>
        <w:pStyle w:val="Heading2"/>
        <w:rPr/>
      </w:pPr>
      <w:bookmarkStart w:id="9" w:name="_xpawz2834hng"/>
      <w:bookmarkEnd w:id="9"/>
      <w:r>
        <w:rPr/>
        <w:t>Participants</w:t>
      </w:r>
    </w:p>
    <w:p>
      <w:pPr>
        <w:pStyle w:val="Normal"/>
        <w:rPr/>
      </w:pPr>
      <w:r>
        <w:rPr/>
        <w:t xml:space="preserve">    </w:t>
      </w:r>
      <w:r>
        <w:rP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rPr/>
        <w:t>= 19). All participants were provided with plain language statements and consent forms, and gave informed consent prior to data collection.</w:t>
      </w:r>
    </w:p>
    <w:p>
      <w:pPr>
        <w:pStyle w:val="Heading2"/>
        <w:rPr/>
      </w:pPr>
      <w:bookmarkStart w:id="10" w:name="_p894letv0pt3"/>
      <w:bookmarkEnd w:id="10"/>
      <w:r>
        <w:rPr/>
        <w:t>Procedure</w:t>
      </w:r>
    </w:p>
    <w:p>
      <w:pPr>
        <w:pStyle w:val="Normal"/>
        <w:rPr/>
      </w:pPr>
      <w:r>
        <w:rPr/>
        <w:t xml:space="preserve">    </w:t>
      </w:r>
      <w:r>
        <w:rPr/>
        <w:tab/>
        <w:t xml:space="preserve">Participants completed the experimental tasks over four sessions, Each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ms. The presentation of the cross was followed by the display of a word in the center of the screen for 1500 ms. </w:t>
      </w:r>
      <w:ins w:id="186" w:author="Jason Zhou" w:date="2020-04-03T11:41:00Z">
        <w:r>
          <w:rPr/>
          <w:t xml:space="preserve">Locations and words were presented serially in accordance with the experimental design of Harlow and Donaldson (2013) to allow for direct comparison of data. </w:t>
        </w:r>
      </w:ins>
      <w:r>
        <w:rPr/>
        <w:t xml:space="preserve">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ms,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w:t>
      </w:r>
      <w:ins w:id="187" w:author="Unknown Author" w:date="2020-04-15T10:42:37Z">
        <w:r>
          <w:rPr/>
          <w:t xml:space="preserve">they </w:t>
        </w:r>
      </w:ins>
      <w:del w:id="188" w:author="Unknown Author" w:date="2020-04-15T10:42:40Z">
        <w:r>
          <w:rPr/>
          <w:delText>participants</w:delText>
        </w:r>
      </w:del>
      <w:r>
        <w:rPr/>
        <w:t xml:space="preserve"> were shown a scrambled list of 10 previously studied items and 10 foils and asked to rate each item on a six-point Old/New confidence scale. Finally, in the source memory retrieval task, participants were cued with the words for 1500 ms, and then indicated the recalled location by a clicking a mouse on the circumference of a gr</w:t>
      </w:r>
      <w:ins w:id="189" w:author="Unknown Author" w:date="2020-04-15T10:42:57Z">
        <w:r>
          <w:rPr/>
          <w:t>a</w:t>
        </w:r>
      </w:ins>
      <w:del w:id="190" w:author="Unknown Author" w:date="2020-04-15T10:42:58Z">
        <w:r>
          <w:rPr/>
          <w:delText>e</w:delText>
        </w:r>
      </w:del>
      <w:r>
        <w:rPr/>
        <w:t xml:space="preserve">y </w:t>
      </w:r>
      <w:ins w:id="191" w:author="Unknown Author" w:date="2020-04-15T10:43:00Z">
        <w:r>
          <w:rPr/>
          <w:t xml:space="preserve">[US spelling] </w:t>
        </w:r>
      </w:ins>
      <w:r>
        <w:rPr/>
        <w:t>response circle. There was no time limit on the decision task. A schematic for one trial in each of the phases is shown in Figure 3.</w:t>
      </w:r>
    </w:p>
    <w:p>
      <w:pPr>
        <w:pStyle w:val="Normal"/>
        <w:rPr/>
      </w:pPr>
      <w:r>
        <w:rPr/>
        <w:drawing>
          <wp:inline distT="0" distB="0" distL="0" distR="0">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4"/>
                    <a:stretch>
                      <a:fillRect/>
                    </a:stretch>
                  </pic:blipFill>
                  <pic:spPr bwMode="auto">
                    <a:xfrm>
                      <a:off x="0" y="0"/>
                      <a:ext cx="5993130" cy="1426845"/>
                    </a:xfrm>
                    <a:prstGeom prst="rect">
                      <a:avLst/>
                    </a:prstGeom>
                  </pic:spPr>
                </pic:pic>
              </a:graphicData>
            </a:graphic>
          </wp:inline>
        </w:drawing>
      </w:r>
    </w:p>
    <w:p>
      <w:pPr>
        <w:pStyle w:val="Caption1"/>
        <w:rPr/>
      </w:pPr>
      <w:r>
        <w:rPr>
          <w:i w:val="false"/>
          <w:color w:val="auto"/>
          <w:sz w:val="24"/>
          <w:szCs w:val="24"/>
        </w:rPr>
        <w:t xml:space="preserve">Figure 3. Schematic of display presented to the participant in one trial in each phase of the experiment. There was also an arithmetic distractor task between the encoding and recognition phases of the block, which is not </w:t>
      </w:r>
      <w:ins w:id="192" w:author="Unknown Author" w:date="2020-04-15T10:43:35Z">
        <w:r>
          <w:rPr>
            <w:i w:val="false"/>
            <w:color w:val="auto"/>
            <w:sz w:val="24"/>
            <w:szCs w:val="24"/>
          </w:rPr>
          <w:t>shown</w:t>
        </w:r>
      </w:ins>
      <w:del w:id="193" w:author="Unknown Author" w:date="2020-04-15T10:43:39Z">
        <w:r>
          <w:rPr>
            <w:i w:val="false"/>
            <w:color w:val="auto"/>
            <w:sz w:val="24"/>
            <w:szCs w:val="24"/>
          </w:rPr>
          <w:delText>depicted in the figure</w:delText>
        </w:r>
      </w:del>
      <w:r>
        <w:rPr>
          <w:i w:val="false"/>
          <w:color w:val="auto"/>
          <w:sz w:val="24"/>
          <w:szCs w:val="24"/>
        </w:rPr>
        <w:t xml:space="preserve">. The mouse cursor is shown in the center of the “Source Task” panel to illustrate the procedure.  In the actual experiment, </w:t>
      </w:r>
      <w:ins w:id="194" w:author="Unknown Author" w:date="2020-04-15T10:43:51Z">
        <w:r>
          <w:rPr>
            <w:i w:val="false"/>
            <w:color w:val="auto"/>
            <w:sz w:val="24"/>
            <w:szCs w:val="24"/>
          </w:rPr>
          <w:t xml:space="preserve">the </w:t>
        </w:r>
      </w:ins>
      <w:r>
        <w:rPr>
          <w:i w:val="false"/>
          <w:color w:val="auto"/>
          <w:sz w:val="24"/>
          <w:szCs w:val="24"/>
        </w:rPr>
        <w:t xml:space="preserve">cursor was hidden from the participant and replaced with a red dot </w:t>
      </w:r>
      <w:ins w:id="195" w:author="Unknown Author" w:date="2020-04-15T10:44:08Z">
        <w:r>
          <w:rPr>
            <w:i w:val="false"/>
            <w:color w:val="auto"/>
            <w:sz w:val="24"/>
            <w:szCs w:val="24"/>
          </w:rPr>
          <w:t xml:space="preserve">four pixels in </w:t>
        </w:r>
      </w:ins>
      <w:del w:id="196" w:author="Unknown Author" w:date="2020-04-15T10:44:15Z">
        <w:r>
          <w:rPr>
            <w:i w:val="false"/>
            <w:color w:val="auto"/>
            <w:sz w:val="24"/>
            <w:szCs w:val="24"/>
          </w:rPr>
          <w:delText xml:space="preserve">with a </w:delText>
        </w:r>
      </w:del>
      <w:r>
        <w:rPr>
          <w:i w:val="false"/>
          <w:color w:val="auto"/>
          <w:sz w:val="24"/>
          <w:szCs w:val="24"/>
        </w:rPr>
        <w:t>diameter</w:t>
      </w:r>
      <w:del w:id="197" w:author="Unknown Author" w:date="2020-04-15T10:44:20Z">
        <w:r>
          <w:rPr>
            <w:i w:val="false"/>
            <w:color w:val="auto"/>
            <w:sz w:val="24"/>
            <w:szCs w:val="24"/>
          </w:rPr>
          <w:delText xml:space="preserve"> of four pixels</w:delText>
        </w:r>
      </w:del>
      <w:r>
        <w:rPr>
          <w:i w:val="false"/>
          <w:color w:val="auto"/>
          <w:sz w:val="24"/>
          <w:szCs w:val="24"/>
        </w:rPr>
        <w:t>.</w:t>
      </w:r>
      <w:bookmarkStart w:id="11" w:name="_sr9cuqhx14rq"/>
      <w:bookmarkEnd w:id="11"/>
    </w:p>
    <w:p>
      <w:pPr>
        <w:pStyle w:val="Heading1"/>
        <w:keepNext w:val="false"/>
        <w:keepLines w:val="false"/>
        <w:spacing w:before="480" w:after="0"/>
        <w:jc w:val="center"/>
        <w:rPr/>
      </w:pPr>
      <w:r>
        <w:rPr/>
        <w:t>Results</w:t>
      </w:r>
    </w:p>
    <w:p>
      <w:pPr>
        <w:pStyle w:val="Normal"/>
        <w:ind w:firstLine="720"/>
        <w:rPr/>
      </w:pPr>
      <w:r>
        <w:rPr/>
        <w:t>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pPr>
        <w:pStyle w:val="Normal"/>
        <w:rPr>
          <w:b/>
          <w:b/>
        </w:rPr>
      </w:pPr>
      <w:r>
        <w:rPr>
          <w:b/>
        </w:rPr>
        <w:t>Data Screening</w:t>
      </w:r>
    </w:p>
    <w:p>
      <w:pPr>
        <w:pStyle w:val="Normal"/>
        <w:rPr/>
      </w:pPr>
      <w:r>
        <w:rPr/>
        <w:t xml:space="preserve">        </w:t>
      </w:r>
      <w:r>
        <w:rP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rPr/>
        <w:t xml:space="preserve">subgroup. Although we retained this subgroup in our analysis, we expected that the data from the remaining </w:t>
      </w:r>
      <w:r>
        <w:rPr>
          <w:i/>
        </w:rPr>
        <w:t xml:space="preserve">high response accuracy </w:t>
      </w:r>
      <w:r>
        <w:rPr/>
        <w:t>group would be more diagnostic for the purposes of distinguishing between the models.</w:t>
      </w:r>
      <w:ins w:id="198" w:author="Unknown Author" w:date="2020-03-30T13:13:00Z">
        <w:r>
          <w:rPr/>
          <w:t xml:space="preserve"> </w:t>
        </w:r>
      </w:ins>
      <w:ins w:id="199" w:author="Unknown Author" w:date="2020-04-15T10:50:26Z">
        <w:r>
          <w:rPr/>
          <w:t xml:space="preserve"> </w:t>
        </w:r>
      </w:ins>
      <w:ins w:id="200" w:author="Unknown Author" w:date="2020-04-15T10:57:31Z">
        <w:r>
          <w:rPr/>
          <w:t>The test statistic can be written as chi-square(2)</w:t>
        </w:r>
      </w:ins>
    </w:p>
    <w:tbl>
      <w:tblPr>
        <w:tblW w:w="9260" w:type="dxa"/>
        <w:jc w:val="left"/>
        <w:tblInd w:w="100" w:type="dxa"/>
        <w:tblCellMar>
          <w:top w:w="0" w:type="dxa"/>
          <w:left w:w="108" w:type="dxa"/>
          <w:bottom w:w="0" w:type="dxa"/>
          <w:right w:w="108" w:type="dxa"/>
        </w:tblCellMar>
        <w:tblLook w:val="04a0" w:noVBand="1" w:noHBand="0" w:lastColumn="0" w:firstColumn="1" w:lastRow="0" w:firstRow="1"/>
      </w:tblPr>
      <w:tblGrid>
        <w:gridCol w:w="2506"/>
        <w:gridCol w:w="1910"/>
        <w:gridCol w:w="2340"/>
        <w:gridCol w:w="2504"/>
      </w:tblGrid>
      <w:tr>
        <w:trPr>
          <w:trHeight w:val="132" w:hRule="atLeast"/>
        </w:trPr>
        <w:tc>
          <w:tcPr>
            <w:tcW w:w="2506" w:type="dxa"/>
            <w:tcBorders>
              <w:bottom w:val="single" w:sz="8" w:space="0" w:color="000000"/>
            </w:tcBorders>
            <w:shd w:fill="auto" w:val="clear"/>
          </w:tcPr>
          <w:p>
            <w:pPr>
              <w:pStyle w:val="Normal"/>
              <w:spacing w:lineRule="auto" w:line="276"/>
              <w:ind w:left="100" w:hanging="0"/>
              <w:rPr/>
            </w:pPr>
            <w:r>
              <w:rPr/>
            </w:r>
          </w:p>
        </w:tc>
        <w:tc>
          <w:tcPr>
            <w:tcW w:w="6754" w:type="dxa"/>
            <w:gridSpan w:val="3"/>
            <w:tcBorders>
              <w:bottom w:val="single" w:sz="8" w:space="0" w:color="000000"/>
            </w:tcBorders>
            <w:shd w:color="auto" w:fill="auto" w:val="clear"/>
          </w:tcPr>
          <w:p>
            <w:pPr>
              <w:pStyle w:val="Normal"/>
              <w:spacing w:lineRule="auto" w:line="276"/>
              <w:ind w:left="100" w:hanging="0"/>
              <w:rPr/>
            </w:pPr>
            <w:r>
              <w:rPr/>
              <w:t>Table 1</w:t>
            </w:r>
          </w:p>
          <w:p>
            <w:pPr>
              <w:pStyle w:val="Normal"/>
              <w:spacing w:lineRule="auto" w:line="276"/>
              <w:ind w:left="100" w:hanging="0"/>
              <w:rPr/>
            </w:pPr>
            <w:r>
              <w:rPr/>
              <w:t>Rayleigh Test for Uniformity for Source Memory Response Error</w:t>
            </w:r>
          </w:p>
        </w:tc>
      </w:tr>
      <w:tr>
        <w:trPr>
          <w:trHeight w:val="132" w:hRule="atLeast"/>
        </w:trPr>
        <w:tc>
          <w:tcPr>
            <w:tcW w:w="4416" w:type="dxa"/>
            <w:gridSpan w:val="2"/>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2340" w:type="dxa"/>
            <w:tcBorders>
              <w:top w:val="single" w:sz="8" w:space="0" w:color="000000"/>
              <w:bottom w:val="single" w:sz="8" w:space="0" w:color="000000"/>
            </w:tcBorders>
            <w:shd w:fill="auto" w:val="clear"/>
          </w:tcPr>
          <w:p>
            <w:pPr>
              <w:pStyle w:val="Normal"/>
              <w:spacing w:lineRule="auto" w:line="240"/>
              <w:ind w:left="101" w:hanging="0"/>
              <w:jc w:val="center"/>
              <w:rPr>
                <w:iCs/>
              </w:rPr>
            </w:pPr>
            <w:commentRangeStart w:id="7"/>
            <w:r>
              <w:rPr>
                <w:iCs/>
              </w:rPr>
              <w:t>Rayleigh test statistic</w:t>
            </w:r>
            <w:commentRangeEnd w:id="7"/>
            <w:r>
              <w:commentReference w:id="7"/>
            </w:r>
            <w:r>
              <w:rPr>
                <w:iCs/>
              </w:rPr>
            </w:r>
          </w:p>
        </w:tc>
        <w:tc>
          <w:tcPr>
            <w:tcW w:w="2504"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232" w:hRule="atLeast"/>
        </w:trPr>
        <w:tc>
          <w:tcPr>
            <w:tcW w:w="4416" w:type="dxa"/>
            <w:gridSpan w:val="2"/>
            <w:tcBorders>
              <w:top w:val="single" w:sz="8" w:space="0" w:color="000000"/>
            </w:tcBorders>
            <w:shd w:color="auto" w:fill="auto" w:val="clear"/>
          </w:tcPr>
          <w:p>
            <w:pPr>
              <w:pStyle w:val="Normal"/>
              <w:spacing w:lineRule="auto" w:line="240"/>
              <w:ind w:left="101" w:hanging="0"/>
              <w:jc w:val="center"/>
              <w:rPr/>
            </w:pPr>
            <w:r>
              <w:rPr/>
              <w:t>1</w:t>
            </w:r>
          </w:p>
        </w:tc>
        <w:tc>
          <w:tcPr>
            <w:tcW w:w="2340" w:type="dxa"/>
            <w:tcBorders>
              <w:top w:val="single" w:sz="8" w:space="0" w:color="000000"/>
            </w:tcBorders>
            <w:shd w:fill="auto" w:val="clear"/>
          </w:tcPr>
          <w:p>
            <w:pPr>
              <w:pStyle w:val="Normal"/>
              <w:spacing w:lineRule="auto" w:line="240"/>
              <w:ind w:left="101" w:hanging="0"/>
              <w:jc w:val="center"/>
              <w:rPr/>
            </w:pPr>
            <w:r>
              <w:rPr/>
              <w:t>0.02</w:t>
            </w:r>
          </w:p>
        </w:tc>
        <w:tc>
          <w:tcPr>
            <w:tcW w:w="2504" w:type="dxa"/>
            <w:tcBorders>
              <w:top w:val="single" w:sz="8" w:space="0" w:color="000000"/>
            </w:tcBorders>
            <w:shd w:color="auto" w:fill="auto" w:val="clear"/>
          </w:tcPr>
          <w:p>
            <w:pPr>
              <w:pStyle w:val="Normal"/>
              <w:spacing w:lineRule="auto" w:line="240"/>
              <w:ind w:left="101" w:hanging="0"/>
              <w:jc w:val="center"/>
              <w:rPr/>
            </w:pPr>
            <w:r>
              <w:rPr/>
              <w:t>.87*</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2</w:t>
            </w:r>
          </w:p>
        </w:tc>
        <w:tc>
          <w:tcPr>
            <w:tcW w:w="2340" w:type="dxa"/>
            <w:tcBorders/>
            <w:shd w:fill="auto" w:val="clear"/>
          </w:tcPr>
          <w:p>
            <w:pPr>
              <w:pStyle w:val="Normal"/>
              <w:spacing w:lineRule="auto" w:line="240"/>
              <w:ind w:left="101" w:hanging="0"/>
              <w:jc w:val="center"/>
              <w:rPr/>
            </w:pPr>
            <w:r>
              <w:rPr/>
              <w:t>0.69</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gridSpan w:val="2"/>
            <w:tcBorders/>
            <w:shd w:color="auto" w:fill="auto" w:val="clear"/>
          </w:tcPr>
          <w:p>
            <w:pPr>
              <w:pStyle w:val="Normal"/>
              <w:spacing w:lineRule="auto" w:line="240"/>
              <w:ind w:left="101" w:hanging="0"/>
              <w:jc w:val="center"/>
              <w:rPr/>
            </w:pPr>
            <w:r>
              <w:rPr/>
              <w:t>3</w:t>
            </w:r>
          </w:p>
        </w:tc>
        <w:tc>
          <w:tcPr>
            <w:tcW w:w="2340" w:type="dxa"/>
            <w:tcBorders/>
            <w:shd w:fill="auto" w:val="clear"/>
          </w:tcPr>
          <w:p>
            <w:pPr>
              <w:pStyle w:val="Normal"/>
              <w:spacing w:lineRule="auto" w:line="240"/>
              <w:ind w:left="101" w:hanging="0"/>
              <w:jc w:val="center"/>
              <w:rPr/>
            </w:pPr>
            <w:r>
              <w:rPr/>
              <w:t>0.44</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4</w:t>
            </w:r>
          </w:p>
        </w:tc>
        <w:tc>
          <w:tcPr>
            <w:tcW w:w="2340" w:type="dxa"/>
            <w:tcBorders/>
            <w:shd w:fill="auto" w:val="clear"/>
          </w:tcPr>
          <w:p>
            <w:pPr>
              <w:pStyle w:val="Normal"/>
              <w:spacing w:lineRule="auto" w:line="240"/>
              <w:ind w:left="101" w:hanging="0"/>
              <w:jc w:val="center"/>
              <w:rPr/>
            </w:pPr>
            <w:r>
              <w:rPr/>
              <w:t>0.51</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5</w:t>
            </w:r>
          </w:p>
        </w:tc>
        <w:tc>
          <w:tcPr>
            <w:tcW w:w="2340" w:type="dxa"/>
            <w:tcBorders/>
            <w:shd w:fill="auto" w:val="clear"/>
          </w:tcPr>
          <w:p>
            <w:pPr>
              <w:pStyle w:val="Normal"/>
              <w:spacing w:lineRule="auto" w:line="240"/>
              <w:ind w:left="101" w:hanging="0"/>
              <w:jc w:val="center"/>
              <w:rPr/>
            </w:pPr>
            <w:r>
              <w:rPr/>
              <w:t>0.55</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6</w:t>
            </w:r>
          </w:p>
        </w:tc>
        <w:tc>
          <w:tcPr>
            <w:tcW w:w="2340" w:type="dxa"/>
            <w:tcBorders/>
            <w:shd w:fill="auto" w:val="clear"/>
          </w:tcPr>
          <w:p>
            <w:pPr>
              <w:pStyle w:val="Normal"/>
              <w:spacing w:lineRule="auto" w:line="240"/>
              <w:ind w:left="101" w:hanging="0"/>
              <w:jc w:val="center"/>
              <w:rPr/>
            </w:pPr>
            <w:r>
              <w:rPr/>
              <w:t>0.21</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gridSpan w:val="2"/>
            <w:tcBorders/>
            <w:shd w:color="auto" w:fill="auto" w:val="clear"/>
          </w:tcPr>
          <w:p>
            <w:pPr>
              <w:pStyle w:val="Normal"/>
              <w:spacing w:lineRule="auto" w:line="240"/>
              <w:ind w:left="101" w:hanging="0"/>
              <w:jc w:val="center"/>
              <w:rPr/>
            </w:pPr>
            <w:r>
              <w:rPr/>
              <w:t>7</w:t>
            </w:r>
          </w:p>
        </w:tc>
        <w:tc>
          <w:tcPr>
            <w:tcW w:w="2340" w:type="dxa"/>
            <w:tcBorders/>
            <w:shd w:fill="auto" w:val="clear"/>
          </w:tcPr>
          <w:p>
            <w:pPr>
              <w:pStyle w:val="Normal"/>
              <w:spacing w:lineRule="auto" w:line="240"/>
              <w:ind w:left="101" w:hanging="0"/>
              <w:jc w:val="center"/>
              <w:rPr/>
            </w:pPr>
            <w:r>
              <w:rPr/>
              <w:t>0.57</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8</w:t>
            </w:r>
          </w:p>
        </w:tc>
        <w:tc>
          <w:tcPr>
            <w:tcW w:w="2340" w:type="dxa"/>
            <w:tcBorders/>
            <w:shd w:fill="auto" w:val="clear"/>
          </w:tcPr>
          <w:p>
            <w:pPr>
              <w:pStyle w:val="Normal"/>
              <w:spacing w:lineRule="auto" w:line="240"/>
              <w:ind w:left="101" w:hanging="0"/>
              <w:jc w:val="center"/>
              <w:rPr/>
            </w:pPr>
            <w:r>
              <w:rPr/>
              <w:t>0.87</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9</w:t>
            </w:r>
          </w:p>
        </w:tc>
        <w:tc>
          <w:tcPr>
            <w:tcW w:w="2340" w:type="dxa"/>
            <w:tcBorders/>
            <w:shd w:fill="auto" w:val="clear"/>
          </w:tcPr>
          <w:p>
            <w:pPr>
              <w:pStyle w:val="Normal"/>
              <w:spacing w:lineRule="auto" w:line="240"/>
              <w:ind w:left="101" w:hanging="0"/>
              <w:jc w:val="center"/>
              <w:rPr/>
            </w:pPr>
            <w:r>
              <w:rPr/>
              <w:t>0.10</w:t>
            </w:r>
          </w:p>
        </w:tc>
        <w:tc>
          <w:tcPr>
            <w:tcW w:w="2504" w:type="dxa"/>
            <w:tcBorders/>
            <w:shd w:color="auto" w:fill="auto" w:val="clear"/>
          </w:tcPr>
          <w:p>
            <w:pPr>
              <w:pStyle w:val="Normal"/>
              <w:spacing w:lineRule="auto" w:line="240"/>
              <w:ind w:left="101" w:hanging="0"/>
              <w:jc w:val="center"/>
              <w:rPr/>
            </w:pPr>
            <w:r>
              <w:rPr/>
              <w: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10</w:t>
            </w:r>
          </w:p>
        </w:tc>
        <w:tc>
          <w:tcPr>
            <w:tcW w:w="2340" w:type="dxa"/>
            <w:tcBorders/>
            <w:shd w:fill="auto" w:val="clear"/>
          </w:tcPr>
          <w:p>
            <w:pPr>
              <w:pStyle w:val="Normal"/>
              <w:spacing w:lineRule="auto" w:line="240"/>
              <w:ind w:left="101" w:hanging="0"/>
              <w:jc w:val="center"/>
              <w:rPr/>
            </w:pPr>
            <w:r>
              <w:rPr/>
              <w:t>0.87</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gridSpan w:val="2"/>
            <w:tcBorders/>
            <w:shd w:color="auto" w:fill="auto" w:val="clear"/>
          </w:tcPr>
          <w:p>
            <w:pPr>
              <w:pStyle w:val="Normal"/>
              <w:spacing w:lineRule="auto" w:line="240"/>
              <w:ind w:left="101" w:hanging="0"/>
              <w:jc w:val="center"/>
              <w:rPr/>
            </w:pPr>
            <w:r>
              <w:rPr/>
              <w:t>11</w:t>
            </w:r>
          </w:p>
        </w:tc>
        <w:tc>
          <w:tcPr>
            <w:tcW w:w="2340" w:type="dxa"/>
            <w:tcBorders/>
            <w:shd w:fill="auto" w:val="clear"/>
          </w:tcPr>
          <w:p>
            <w:pPr>
              <w:pStyle w:val="Normal"/>
              <w:spacing w:lineRule="auto" w:line="240"/>
              <w:ind w:left="101" w:hanging="0"/>
              <w:jc w:val="center"/>
              <w:rPr/>
            </w:pPr>
            <w:r>
              <w:rPr/>
              <w:t>0.35</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12</w:t>
            </w:r>
          </w:p>
        </w:tc>
        <w:tc>
          <w:tcPr>
            <w:tcW w:w="2340" w:type="dxa"/>
            <w:tcBorders/>
            <w:shd w:fill="auto" w:val="clear"/>
          </w:tcPr>
          <w:p>
            <w:pPr>
              <w:pStyle w:val="Normal"/>
              <w:spacing w:lineRule="auto" w:line="240"/>
              <w:ind w:left="101" w:hanging="0"/>
              <w:jc w:val="center"/>
              <w:rPr/>
            </w:pPr>
            <w:r>
              <w:rPr/>
              <w:t>0.66</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13</w:t>
            </w:r>
          </w:p>
        </w:tc>
        <w:tc>
          <w:tcPr>
            <w:tcW w:w="2340" w:type="dxa"/>
            <w:tcBorders/>
            <w:shd w:fill="auto" w:val="clear"/>
          </w:tcPr>
          <w:p>
            <w:pPr>
              <w:pStyle w:val="Normal"/>
              <w:spacing w:lineRule="auto" w:line="240"/>
              <w:ind w:left="101" w:hanging="0"/>
              <w:jc w:val="center"/>
              <w:rPr/>
            </w:pPr>
            <w:r>
              <w:rPr/>
              <w:t>0.07</w:t>
            </w:r>
          </w:p>
        </w:tc>
        <w:tc>
          <w:tcPr>
            <w:tcW w:w="2504" w:type="dxa"/>
            <w:tcBorders/>
            <w:shd w:color="auto" w:fill="auto" w:val="clear"/>
          </w:tcPr>
          <w:p>
            <w:pPr>
              <w:pStyle w:val="Normal"/>
              <w:spacing w:lineRule="auto" w:line="240"/>
              <w:ind w:left="101" w:hanging="0"/>
              <w:jc w:val="center"/>
              <w:rPr/>
            </w:pPr>
            <w:r>
              <w:rPr/>
              <w:t>.24*</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15</w:t>
            </w:r>
          </w:p>
        </w:tc>
        <w:tc>
          <w:tcPr>
            <w:tcW w:w="2340" w:type="dxa"/>
            <w:tcBorders/>
            <w:shd w:fill="auto" w:val="clear"/>
          </w:tcPr>
          <w:p>
            <w:pPr>
              <w:pStyle w:val="Normal"/>
              <w:spacing w:lineRule="auto" w:line="240"/>
              <w:ind w:left="101" w:hanging="0"/>
              <w:jc w:val="center"/>
              <w:rPr/>
            </w:pPr>
            <w:r>
              <w:rPr/>
              <w:t>0.08</w:t>
            </w:r>
          </w:p>
        </w:tc>
        <w:tc>
          <w:tcPr>
            <w:tcW w:w="2504" w:type="dxa"/>
            <w:tcBorders/>
            <w:shd w:color="auto" w:fill="auto" w:val="clear"/>
          </w:tcPr>
          <w:p>
            <w:pPr>
              <w:pStyle w:val="Normal"/>
              <w:spacing w:lineRule="auto" w:line="240"/>
              <w:ind w:left="101" w:hanging="0"/>
              <w:jc w:val="center"/>
              <w:rPr/>
            </w:pPr>
            <w:r>
              <w:rPr/>
              <w:t>.04</w:t>
            </w:r>
          </w:p>
        </w:tc>
      </w:tr>
      <w:tr>
        <w:trPr>
          <w:trHeight w:val="225" w:hRule="atLeast"/>
        </w:trPr>
        <w:tc>
          <w:tcPr>
            <w:tcW w:w="4416" w:type="dxa"/>
            <w:gridSpan w:val="2"/>
            <w:tcBorders/>
            <w:shd w:color="auto" w:fill="auto" w:val="clear"/>
          </w:tcPr>
          <w:p>
            <w:pPr>
              <w:pStyle w:val="Normal"/>
              <w:spacing w:lineRule="auto" w:line="240"/>
              <w:ind w:left="101" w:hanging="0"/>
              <w:jc w:val="center"/>
              <w:rPr/>
            </w:pPr>
            <w:r>
              <w:rPr/>
              <w:t>16</w:t>
            </w:r>
          </w:p>
        </w:tc>
        <w:tc>
          <w:tcPr>
            <w:tcW w:w="2340" w:type="dxa"/>
            <w:tcBorders/>
            <w:shd w:fill="auto" w:val="clear"/>
          </w:tcPr>
          <w:p>
            <w:pPr>
              <w:pStyle w:val="Normal"/>
              <w:spacing w:lineRule="auto" w:line="240"/>
              <w:ind w:left="101" w:hanging="0"/>
              <w:jc w:val="center"/>
              <w:rPr/>
            </w:pPr>
            <w:r>
              <w:rPr/>
              <w:t>0.54</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17</w:t>
            </w:r>
          </w:p>
        </w:tc>
        <w:tc>
          <w:tcPr>
            <w:tcW w:w="2340" w:type="dxa"/>
            <w:tcBorders/>
            <w:shd w:fill="auto" w:val="clear"/>
          </w:tcPr>
          <w:p>
            <w:pPr>
              <w:pStyle w:val="Normal"/>
              <w:spacing w:lineRule="auto" w:line="240"/>
              <w:ind w:left="101" w:hanging="0"/>
              <w:jc w:val="center"/>
              <w:rPr/>
            </w:pPr>
            <w:r>
              <w:rPr/>
              <w:t>0.09</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18</w:t>
            </w:r>
          </w:p>
        </w:tc>
        <w:tc>
          <w:tcPr>
            <w:tcW w:w="2340" w:type="dxa"/>
            <w:tcBorders/>
            <w:shd w:fill="auto" w:val="clear"/>
          </w:tcPr>
          <w:p>
            <w:pPr>
              <w:pStyle w:val="Normal"/>
              <w:spacing w:lineRule="auto" w:line="240"/>
              <w:ind w:left="101" w:hanging="0"/>
              <w:jc w:val="center"/>
              <w:rPr/>
            </w:pPr>
            <w:r>
              <w:rPr/>
              <w:t>0.62</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gridSpan w:val="2"/>
            <w:tcBorders/>
            <w:shd w:color="auto" w:fill="auto" w:val="clear"/>
          </w:tcPr>
          <w:p>
            <w:pPr>
              <w:pStyle w:val="Normal"/>
              <w:spacing w:lineRule="auto" w:line="240"/>
              <w:ind w:left="101" w:hanging="0"/>
              <w:jc w:val="center"/>
              <w:rPr/>
            </w:pPr>
            <w:r>
              <w:rPr/>
              <w:t>19</w:t>
            </w:r>
          </w:p>
        </w:tc>
        <w:tc>
          <w:tcPr>
            <w:tcW w:w="2340" w:type="dxa"/>
            <w:tcBorders/>
            <w:shd w:fill="auto" w:val="clear"/>
          </w:tcPr>
          <w:p>
            <w:pPr>
              <w:pStyle w:val="Normal"/>
              <w:spacing w:lineRule="auto" w:line="240"/>
              <w:ind w:left="101" w:hanging="0"/>
              <w:jc w:val="center"/>
              <w:rPr/>
            </w:pPr>
            <w:r>
              <w:rPr/>
              <w:t>0.29</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gridSpan w:val="2"/>
            <w:tcBorders>
              <w:bottom w:val="single" w:sz="8" w:space="0" w:color="000000"/>
            </w:tcBorders>
            <w:shd w:color="auto" w:fill="auto" w:val="clear"/>
          </w:tcPr>
          <w:p>
            <w:pPr>
              <w:pStyle w:val="Normal"/>
              <w:spacing w:lineRule="auto" w:line="240"/>
              <w:ind w:left="101" w:hanging="0"/>
              <w:jc w:val="center"/>
              <w:rPr/>
            </w:pPr>
            <w:r>
              <w:rPr/>
              <w:t>20</w:t>
            </w:r>
          </w:p>
        </w:tc>
        <w:tc>
          <w:tcPr>
            <w:tcW w:w="2340" w:type="dxa"/>
            <w:tcBorders>
              <w:bottom w:val="single" w:sz="8" w:space="0" w:color="000000"/>
            </w:tcBorders>
            <w:shd w:fill="auto" w:val="clear"/>
          </w:tcPr>
          <w:p>
            <w:pPr>
              <w:pStyle w:val="Normal"/>
              <w:spacing w:lineRule="auto" w:line="240"/>
              <w:ind w:left="101" w:hanging="0"/>
              <w:jc w:val="center"/>
              <w:rPr/>
            </w:pPr>
            <w:r>
              <w:rPr/>
              <w:t>0.28</w:t>
            </w:r>
          </w:p>
        </w:tc>
        <w:tc>
          <w:tcPr>
            <w:tcW w:w="2504" w:type="dxa"/>
            <w:tcBorders>
              <w:bottom w:val="single" w:sz="8" w:space="0" w:color="000000"/>
            </w:tcBorders>
            <w:shd w:color="auto" w:fill="auto" w:val="clear"/>
          </w:tcPr>
          <w:p>
            <w:pPr>
              <w:pStyle w:val="Normal"/>
              <w:spacing w:lineRule="auto" w:line="240"/>
              <w:ind w:left="101" w:hanging="0"/>
              <w:jc w:val="center"/>
              <w:rPr/>
            </w:pPr>
            <w:r>
              <w:rPr/>
              <w:t>&lt;.01</w:t>
            </w:r>
          </w:p>
        </w:tc>
      </w:tr>
    </w:tbl>
    <w:p>
      <w:pPr>
        <w:pStyle w:val="Normal"/>
        <w:rPr/>
      </w:pPr>
      <w:ins w:id="201" w:author="Unknown Author" w:date="2020-04-15T10:49:52Z">
        <w:r>
          <w:rPr>
            <w:i/>
            <w:iCs/>
          </w:rPr>
          <w:t>Note</w:t>
        </w:r>
      </w:ins>
      <w:ins w:id="202" w:author="Unknown Author" w:date="2020-04-15T10:49:52Z">
        <w:r>
          <w:rPr/>
          <w:t xml:space="preserve">. </w:t>
        </w:r>
      </w:ins>
      <w:ins w:id="203" w:author="Unknown Author" w:date="2020-04-15T10:52:09Z">
        <w:r>
          <w:rPr/>
          <w:t xml:space="preserve"> </w:t>
        </w:r>
      </w:ins>
      <w:r>
        <w:rPr/>
        <w:t xml:space="preserve">* </w:t>
      </w:r>
      <w:r>
        <w:rPr>
          <w:i/>
        </w:rPr>
        <w:t xml:space="preserve">p </w:t>
      </w:r>
      <w:r>
        <w:rPr/>
        <w:t>values greater than 0.05, indicating no evidence of a departure from uniformity for participants 1 and 13.</w:t>
      </w:r>
    </w:p>
    <w:p>
      <w:pPr>
        <w:pStyle w:val="Normal"/>
        <w:rPr/>
      </w:pPr>
      <w:r>
        <w:rPr/>
      </w:r>
    </w:p>
    <w:p>
      <w:pPr>
        <w:pStyle w:val="Normal"/>
        <w:rPr>
          <w:color w:val="222222"/>
          <w:ins w:id="205" w:author="Jason Zhou" w:date="2020-04-08T12:46:00Z"/>
          <w:highlight w:val="white"/>
        </w:rPr>
      </w:pPr>
      <w:ins w:id="204" w:author="Jason Zhou" w:date="2020-04-08T12:46:00Z">
        <w:r>
          <w:rPr/>
          <w:t xml:space="preserve">[If we want to go with the excluding p20 option:] </w:t>
        </w:r>
      </w:ins>
    </w:p>
    <w:p>
      <w:pPr>
        <w:pStyle w:val="Normal"/>
        <w:ind w:firstLine="720"/>
        <w:pPrChange w:id="0" w:author="Jason Zhou" w:date="2020-04-08T12:47:00Z"/>
        <w:rPr/>
      </w:pPr>
      <w:r>
        <w:rPr>
          <w:color w:val="222222"/>
          <w:highlight w:val="white"/>
        </w:rPr>
        <w:t>One of the participants (Participant 20), showed a progressive increase in very fast responses over the four experimental sessions.</w:t>
      </w:r>
      <w:ins w:id="206" w:author="Jason Zhou" w:date="2020-04-08T12:47:00Z">
        <w:r>
          <w:rPr>
            <w:color w:val="222222"/>
            <w:highlight w:val="white"/>
          </w:rPr>
          <w:t xml:space="preserve"> Our ex</w:t>
        </w:r>
      </w:ins>
      <w:ins w:id="207" w:author="Jason Zhou" w:date="2020-04-08T12:49:00Z">
        <w:r>
          <w:rPr>
            <w:color w:val="222222"/>
            <w:highlight w:val="white"/>
          </w:rPr>
          <w:t>p</w:t>
        </w:r>
      </w:ins>
      <w:ins w:id="208" w:author="Jason Zhou" w:date="2020-04-08T12:47:00Z">
        <w:r>
          <w:rPr>
            <w:color w:val="222222"/>
            <w:highlight w:val="white"/>
          </w:rPr>
          <w:t xml:space="preserve">erimental program did not include a trap for very fast responding (cf. Ratcliff, 2018), which meant that it was possible for participants to move the mouse prior to the retrieval cue. </w:t>
        </w:r>
      </w:ins>
      <w:ins w:id="209" w:author="Jason Zhou" w:date="2020-04-08T12:46:00Z">
        <w:r>
          <w:rPr>
            <w:color w:val="222222"/>
            <w:highlight w:val="white"/>
          </w:rPr>
          <w:t>Most of th</w:t>
        </w:r>
      </w:ins>
      <w:ins w:id="210" w:author="Jason Zhou" w:date="2020-04-08T12:47:00Z">
        <w:r>
          <w:rPr>
            <w:color w:val="222222"/>
            <w:highlight w:val="white"/>
          </w:rPr>
          <w:t>e fast</w:t>
        </w:r>
      </w:ins>
      <w:ins w:id="211" w:author="Jason Zhou" w:date="2020-04-08T12:46:00Z">
        <w:r>
          <w:rPr>
            <w:color w:val="222222"/>
            <w:highlight w:val="white"/>
          </w:rPr>
          <w:t xml:space="preserve"> responses </w:t>
        </w:r>
      </w:ins>
      <w:ins w:id="212" w:author="Jason Zhou" w:date="2020-04-08T12:47:00Z">
        <w:r>
          <w:rPr>
            <w:color w:val="222222"/>
            <w:highlight w:val="white"/>
          </w:rPr>
          <w:t xml:space="preserve">made be Participant 20 </w:t>
        </w:r>
      </w:ins>
      <w:ins w:id="213" w:author="Jason Zhou" w:date="2020-04-08T12:46:00Z">
        <w:r>
          <w:rPr>
            <w:color w:val="222222"/>
            <w:highlight w:val="white"/>
          </w:rPr>
          <w:t>appear to be anticipations and are not captured by the model,</w:t>
        </w:r>
      </w:ins>
      <w:ins w:id="214" w:author="Jason Zhou" w:date="2020-04-08T12:48:00Z">
        <w:r>
          <w:rPr>
            <w:color w:val="222222"/>
          </w:rPr>
          <w:t xml:space="preserve"> and we have chosen to exclude this participant </w:t>
        </w:r>
      </w:ins>
      <w:ins w:id="215" w:author="Jason Zhou" w:date="2020-04-08T12:49:00Z">
        <w:r>
          <w:rPr>
            <w:color w:val="222222"/>
          </w:rPr>
          <w:t xml:space="preserve">in the </w:t>
        </w:r>
      </w:ins>
      <w:ins w:id="216" w:author="Jason Zhou" w:date="2020-04-08T12:50:00Z">
        <w:r>
          <w:rPr>
            <w:color w:val="222222"/>
          </w:rPr>
          <w:t>results to follow, but this data can be found in the supplementary materials.</w:t>
        </w:r>
      </w:ins>
    </w:p>
    <w:p>
      <w:pPr>
        <w:pStyle w:val="Heading2"/>
        <w:ind w:hanging="0"/>
        <w:rPr/>
      </w:pPr>
      <w:bookmarkStart w:id="12" w:name="_xjgqmvyaccak"/>
      <w:bookmarkEnd w:id="12"/>
      <w:r>
        <w:rPr/>
        <w:t>Source Memory for Unrecognized Items</w:t>
      </w:r>
    </w:p>
    <w:p>
      <w:pPr>
        <w:pStyle w:val="Normal"/>
        <w:ind w:firstLine="720"/>
        <w:rPr/>
      </w:pPr>
      <w:r>
        <w:rPr/>
        <w:t xml:space="preserve">The data for each participant were split into three categories on the basis of </w:t>
      </w:r>
      <w:ins w:id="217" w:author="Unknown Author" w:date="2020-04-15T11:00:14Z">
        <w:r>
          <w:rPr/>
          <w:t>their</w:t>
        </w:r>
      </w:ins>
      <w:del w:id="218" w:author="Unknown Author" w:date="2020-04-15T11:00:21Z">
        <w:r>
          <w:rPr/>
          <w:delText>participants’</w:delText>
        </w:r>
      </w:del>
      <w:r>
        <w:rPr/>
        <w:t xml:space="preserve"> confidence in the recognition </w:t>
      </w:r>
      <w:ins w:id="219" w:author="Unknown Author" w:date="2020-04-15T11:00:30Z">
        <w:r>
          <w:rPr/>
          <w:t xml:space="preserve">task. </w:t>
        </w:r>
      </w:ins>
      <w:del w:id="220" w:author="Unknown Author" w:date="2020-04-15T11:00:33Z">
        <w:r>
          <w:rPr/>
          <w:delText>phase of the experiment.</w:delText>
        </w:r>
      </w:del>
      <w:r>
        <w:rPr/>
        <w:t xml:space="preserve"> Items rated three and below were deemed unrecognized</w:t>
      </w:r>
      <w:del w:id="221" w:author="Unknown Author" w:date="2020-04-15T11:00:52Z">
        <w:r>
          <w:rPr/>
          <w:delText xml:space="preserve"> by the participants</w:delText>
        </w:r>
      </w:del>
      <w:r>
        <w:rPr/>
        <w:t>; successful recognition was defined by</w:t>
      </w:r>
      <w:del w:id="222" w:author="Unknown Author" w:date="2020-04-15T11:01:12Z">
        <w:r>
          <w:rPr/>
          <w:delText xml:space="preserve"> a</w:delText>
        </w:r>
      </w:del>
      <w:r>
        <w:rPr/>
        <w:t xml:space="preserve"> rating</w:t>
      </w:r>
      <w:ins w:id="223" w:author="Unknown Author" w:date="2020-04-15T11:01:08Z">
        <w:r>
          <w:rPr/>
          <w:t>s</w:t>
        </w:r>
      </w:ins>
      <w:r>
        <w:rPr/>
        <w:t xml:space="preserve"> of four and above. </w:t>
      </w:r>
      <w:ins w:id="224" w:author="Unknown Author" w:date="2020-04-15T11:02:24Z">
        <w:r>
          <w:rPr/>
          <w:t xml:space="preserve">Recognized items receiving the maximum rating of six were further classified as highly recognized items. </w:t>
        </w:r>
      </w:ins>
      <w:del w:id="225" w:author="Unknown Author" w:date="2020-04-15T11:02:56Z">
        <w:r>
          <w:rPr/>
          <w:delText xml:space="preserve">Of the recognized items, ratings of the maximum value of six were further specified as highly recognized items. </w:delText>
        </w:r>
      </w:del>
      <w:r>
        <w:rPr/>
        <w:t>Figure 4 shows the frequency of response errors across all participants grouped according to these categories of confidence in the recognition phase.</w:t>
      </w:r>
      <w:r>
        <w:rPr/>
        <w:drawing>
          <wp:inline distT="0" distB="0" distL="0" distR="0">
            <wp:extent cx="6010910" cy="494157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010910" cy="4941570"/>
                    </a:xfrm>
                    <a:prstGeom prst="rect">
                      <a:avLst/>
                    </a:prstGeom>
                  </pic:spPr>
                </pic:pic>
              </a:graphicData>
            </a:graphic>
          </wp:inline>
        </w:drawing>
      </w:r>
    </w:p>
    <w:p>
      <w:pPr>
        <w:pStyle w:val="Caption1"/>
        <w:rPr>
          <w:i w:val="false"/>
          <w:i w:val="false"/>
          <w:color w:val="auto"/>
          <w:sz w:val="24"/>
          <w:szCs w:val="24"/>
        </w:rPr>
      </w:pPr>
      <w:commentRangeStart w:id="8"/>
      <w:r>
        <w:rPr>
          <w:i w:val="false"/>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pPr>
        <w:pStyle w:val="Normal"/>
        <w:rPr/>
      </w:pPr>
      <w:commentRangeEnd w:id="8"/>
      <w:r>
        <w:commentReference w:id="8"/>
      </w:r>
      <w:r>
        <w:rPr/>
      </w:r>
    </w:p>
    <w:p>
      <w:pPr>
        <w:pStyle w:val="Normal"/>
        <w:ind w:firstLine="720"/>
        <w:rPr/>
      </w:pPr>
      <w:r>
        <w:rP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w:t>
      </w:r>
      <w:ins w:id="226" w:author="Jason Zhou" w:date="2020-04-10T14:46:00Z">
        <w:r>
          <w:rPr/>
          <w:t>In ca</w:t>
        </w:r>
      </w:ins>
      <w:ins w:id="227" w:author="Jason Zhou" w:date="2020-04-10T10:22:00Z">
        <w:r>
          <w:rPr/>
          <w:t>s</w:t>
        </w:r>
      </w:ins>
      <w:ins w:id="228" w:author="Jason Zhou" w:date="2020-04-10T14:46:00Z">
        <w:r>
          <w:rPr/>
          <w:t>es</w:t>
        </w:r>
      </w:ins>
      <w:ins w:id="229" w:author="Jason Zhou" w:date="2020-04-10T10:22:00Z">
        <w:r>
          <w:rPr/>
          <w:t xml:space="preserve"> where the unrecognized data statistically varied from uniformity, </w:t>
        </w:r>
      </w:ins>
      <w:ins w:id="230" w:author="Jason Zhou" w:date="2020-04-10T10:22:00Z">
        <w:commentRangeStart w:id="9"/>
        <w:r>
          <w:rPr/>
          <w:t xml:space="preserve">it was the case that there were simply </w:t>
        </w:r>
      </w:ins>
      <w:ins w:id="231" w:author="Jason Zhou" w:date="2020-04-10T10:34:00Z">
        <w:r>
          <w:rPr/>
          <w:t>not many observations that were classified as unrecognized.</w:t>
        </w:r>
      </w:ins>
      <w:commentRangeEnd w:id="9"/>
      <w:r>
        <w:commentReference w:id="9"/>
      </w:r>
      <w:r>
        <w:rPr/>
      </w:r>
    </w:p>
    <w:tbl>
      <w:tblPr>
        <w:tblW w:w="9642" w:type="dxa"/>
        <w:jc w:val="left"/>
        <w:tblInd w:w="100" w:type="dxa"/>
        <w:tblCellMar>
          <w:top w:w="0" w:type="dxa"/>
          <w:left w:w="108" w:type="dxa"/>
          <w:bottom w:w="0" w:type="dxa"/>
          <w:right w:w="108" w:type="dxa"/>
        </w:tblCellMar>
        <w:tblLook w:val="04a0" w:noVBand="1" w:noHBand="0" w:lastColumn="0" w:firstColumn="1" w:lastRow="0" w:firstRow="1"/>
      </w:tblPr>
      <w:tblGrid>
        <w:gridCol w:w="3604"/>
        <w:gridCol w:w="3017"/>
        <w:gridCol w:w="3021"/>
      </w:tblGrid>
      <w:tr>
        <w:trPr>
          <w:trHeight w:val="115" w:hRule="atLeast"/>
        </w:trPr>
        <w:tc>
          <w:tcPr>
            <w:tcW w:w="9642" w:type="dxa"/>
            <w:gridSpan w:val="3"/>
            <w:tcBorders>
              <w:bottom w:val="single" w:sz="8" w:space="0" w:color="000000"/>
            </w:tcBorders>
            <w:shd w:fill="auto" w:val="clear"/>
          </w:tcPr>
          <w:p>
            <w:pPr>
              <w:pStyle w:val="Normal"/>
              <w:spacing w:lineRule="auto" w:line="240"/>
              <w:ind w:left="100" w:hanging="0"/>
              <w:rPr/>
            </w:pPr>
            <w:r>
              <w:rPr/>
              <w:t>Table 4</w:t>
            </w:r>
          </w:p>
          <w:p>
            <w:pPr>
              <w:pStyle w:val="Normal"/>
              <w:spacing w:lineRule="auto" w:line="240"/>
              <w:ind w:left="101" w:hanging="0"/>
              <w:rPr/>
            </w:pPr>
            <w:commentRangeStart w:id="10"/>
            <w:r>
              <w:rPr/>
              <w:t>Rayleigh Test on Source Memory for Unrecognized Items</w:t>
            </w:r>
            <w:commentRangeEnd w:id="10"/>
            <w:r>
              <w:commentReference w:id="10"/>
            </w:r>
            <w:r>
              <w:rPr/>
            </w:r>
          </w:p>
        </w:tc>
      </w:tr>
      <w:tr>
        <w:trPr>
          <w:trHeight w:val="115" w:hRule="atLeast"/>
        </w:trPr>
        <w:tc>
          <w:tcPr>
            <w:tcW w:w="3604" w:type="dxa"/>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3017" w:type="dxa"/>
            <w:tcBorders>
              <w:top w:val="single" w:sz="8" w:space="0" w:color="000000"/>
              <w:bottom w:val="single" w:sz="8" w:space="0" w:color="000000"/>
            </w:tcBorders>
            <w:shd w:fill="auto" w:val="clear"/>
          </w:tcPr>
          <w:p>
            <w:pPr>
              <w:pStyle w:val="Normal"/>
              <w:spacing w:lineRule="auto" w:line="240"/>
              <w:ind w:left="101" w:hanging="0"/>
              <w:jc w:val="center"/>
              <w:rPr>
                <w:i/>
                <w:i/>
              </w:rPr>
            </w:pPr>
            <w:r>
              <w:rPr>
                <w:i/>
              </w:rPr>
            </w:r>
          </w:p>
        </w:tc>
        <w:tc>
          <w:tcPr>
            <w:tcW w:w="3021"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331" w:hRule="exact"/>
        </w:trPr>
        <w:tc>
          <w:tcPr>
            <w:tcW w:w="3604" w:type="dxa"/>
            <w:tcBorders>
              <w:top w:val="single" w:sz="8" w:space="0" w:color="000000"/>
            </w:tcBorders>
            <w:shd w:color="auto" w:fill="auto" w:val="clear"/>
          </w:tcPr>
          <w:p>
            <w:pPr>
              <w:pStyle w:val="Normal"/>
              <w:spacing w:lineRule="auto" w:line="240"/>
              <w:ind w:left="101" w:hanging="0"/>
              <w:jc w:val="center"/>
              <w:rPr/>
            </w:pPr>
            <w:r>
              <w:rPr/>
              <w:t>1</w:t>
            </w:r>
          </w:p>
        </w:tc>
        <w:tc>
          <w:tcPr>
            <w:tcW w:w="3017" w:type="dxa"/>
            <w:tcBorders>
              <w:top w:val="single" w:sz="8" w:space="0" w:color="000000"/>
            </w:tcBorders>
            <w:shd w:fill="auto" w:val="clear"/>
          </w:tcPr>
          <w:p>
            <w:pPr>
              <w:pStyle w:val="Normal"/>
              <w:spacing w:lineRule="auto" w:line="240"/>
              <w:ind w:left="101" w:hanging="0"/>
              <w:jc w:val="center"/>
              <w:rPr/>
            </w:pPr>
            <w:r>
              <w:rPr/>
              <w:t>0.06</w:t>
            </w:r>
          </w:p>
        </w:tc>
        <w:tc>
          <w:tcPr>
            <w:tcW w:w="3021" w:type="dxa"/>
            <w:tcBorders>
              <w:top w:val="single" w:sz="8" w:space="0" w:color="000000"/>
            </w:tcBorders>
            <w:shd w:color="auto" w:fill="auto" w:val="clear"/>
          </w:tcPr>
          <w:p>
            <w:pPr>
              <w:pStyle w:val="Normal"/>
              <w:spacing w:lineRule="auto" w:line="240"/>
              <w:ind w:left="101" w:hanging="0"/>
              <w:jc w:val="center"/>
              <w:rPr/>
            </w:pPr>
            <w:r>
              <w:rPr/>
              <w:t>0.46</w:t>
            </w:r>
          </w:p>
        </w:tc>
      </w:tr>
      <w:tr>
        <w:trPr>
          <w:trHeight w:val="331" w:hRule="exact"/>
        </w:trPr>
        <w:tc>
          <w:tcPr>
            <w:tcW w:w="3604" w:type="dxa"/>
            <w:tcBorders/>
            <w:shd w:color="auto" w:fill="auto" w:val="clear"/>
          </w:tcPr>
          <w:p>
            <w:pPr>
              <w:pStyle w:val="Normal"/>
              <w:spacing w:lineRule="auto" w:line="240"/>
              <w:ind w:left="101" w:hanging="0"/>
              <w:jc w:val="center"/>
              <w:rPr/>
            </w:pPr>
            <w:r>
              <w:rPr/>
              <w:t>2</w:t>
            </w:r>
          </w:p>
        </w:tc>
        <w:tc>
          <w:tcPr>
            <w:tcW w:w="3017" w:type="dxa"/>
            <w:tcBorders/>
            <w:shd w:fill="auto" w:val="clear"/>
          </w:tcPr>
          <w:p>
            <w:pPr>
              <w:pStyle w:val="Normal"/>
              <w:spacing w:lineRule="auto" w:line="240"/>
              <w:ind w:left="101" w:hanging="0"/>
              <w:jc w:val="center"/>
              <w:rPr/>
            </w:pPr>
            <w:r>
              <w:rPr/>
              <w:t>0.24</w:t>
            </w:r>
          </w:p>
        </w:tc>
        <w:tc>
          <w:tcPr>
            <w:tcW w:w="3021" w:type="dxa"/>
            <w:tcBorders/>
            <w:shd w:color="auto" w:fill="auto" w:val="clear"/>
          </w:tcPr>
          <w:p>
            <w:pPr>
              <w:pStyle w:val="Normal"/>
              <w:spacing w:lineRule="auto" w:line="240"/>
              <w:ind w:left="101" w:hanging="0"/>
              <w:jc w:val="center"/>
              <w:rPr/>
            </w:pPr>
            <w:r>
              <w:rPr/>
              <w:t>0.38</w:t>
            </w:r>
          </w:p>
        </w:tc>
      </w:tr>
      <w:tr>
        <w:trPr>
          <w:trHeight w:val="331" w:hRule="exact"/>
        </w:trPr>
        <w:tc>
          <w:tcPr>
            <w:tcW w:w="3604" w:type="dxa"/>
            <w:tcBorders/>
            <w:shd w:color="auto" w:fill="auto" w:val="clear"/>
          </w:tcPr>
          <w:p>
            <w:pPr>
              <w:pStyle w:val="Normal"/>
              <w:spacing w:lineRule="auto" w:line="240"/>
              <w:ind w:left="101" w:hanging="0"/>
              <w:jc w:val="center"/>
              <w:rPr/>
            </w:pPr>
            <w:r>
              <w:rPr/>
              <w:t>3</w:t>
            </w:r>
          </w:p>
        </w:tc>
        <w:tc>
          <w:tcPr>
            <w:tcW w:w="3017" w:type="dxa"/>
            <w:tcBorders/>
            <w:shd w:fill="auto" w:val="clear"/>
          </w:tcPr>
          <w:p>
            <w:pPr>
              <w:pStyle w:val="Normal"/>
              <w:spacing w:lineRule="auto" w:line="240"/>
              <w:ind w:left="101" w:hanging="0"/>
              <w:jc w:val="center"/>
              <w:rPr/>
            </w:pPr>
            <w:r>
              <w:rPr/>
              <w:t>0.17</w:t>
            </w:r>
          </w:p>
        </w:tc>
        <w:tc>
          <w:tcPr>
            <w:tcW w:w="3021" w:type="dxa"/>
            <w:tcBorders/>
            <w:shd w:color="auto" w:fill="auto" w:val="clear"/>
          </w:tcPr>
          <w:p>
            <w:pPr>
              <w:pStyle w:val="Normal"/>
              <w:spacing w:lineRule="auto" w:line="240"/>
              <w:ind w:left="101" w:hanging="0"/>
              <w:jc w:val="center"/>
              <w:rPr/>
            </w:pPr>
            <w:r>
              <w:rPr/>
              <w:t>0.16</w:t>
            </w:r>
          </w:p>
        </w:tc>
      </w:tr>
      <w:tr>
        <w:trPr>
          <w:trHeight w:val="331" w:hRule="exact"/>
        </w:trPr>
        <w:tc>
          <w:tcPr>
            <w:tcW w:w="3604" w:type="dxa"/>
            <w:tcBorders/>
            <w:shd w:color="auto" w:fill="auto" w:val="clear"/>
          </w:tcPr>
          <w:p>
            <w:pPr>
              <w:pStyle w:val="Normal"/>
              <w:spacing w:lineRule="auto" w:line="240"/>
              <w:ind w:left="101" w:hanging="0"/>
              <w:jc w:val="center"/>
              <w:rPr/>
            </w:pPr>
            <w:r>
              <w:rPr/>
              <w:t>4</w:t>
            </w:r>
          </w:p>
        </w:tc>
        <w:tc>
          <w:tcPr>
            <w:tcW w:w="3017" w:type="dxa"/>
            <w:tcBorders/>
            <w:shd w:fill="auto" w:val="clear"/>
          </w:tcPr>
          <w:p>
            <w:pPr>
              <w:pStyle w:val="Normal"/>
              <w:spacing w:lineRule="auto" w:line="240"/>
              <w:ind w:left="101" w:hanging="0"/>
              <w:jc w:val="center"/>
              <w:rPr/>
            </w:pPr>
            <w:r>
              <w:rPr/>
              <w:t>0.11</w:t>
            </w:r>
          </w:p>
        </w:tc>
        <w:tc>
          <w:tcPr>
            <w:tcW w:w="3021" w:type="dxa"/>
            <w:tcBorders/>
            <w:shd w:color="auto" w:fill="auto" w:val="clear"/>
          </w:tcPr>
          <w:p>
            <w:pPr>
              <w:pStyle w:val="Normal"/>
              <w:spacing w:lineRule="auto" w:line="240"/>
              <w:ind w:left="101" w:hanging="0"/>
              <w:jc w:val="center"/>
              <w:rPr/>
            </w:pPr>
            <w:r>
              <w:rPr/>
              <w:t>0.48</w:t>
            </w:r>
          </w:p>
        </w:tc>
      </w:tr>
      <w:tr>
        <w:trPr>
          <w:trHeight w:val="331" w:hRule="exact"/>
        </w:trPr>
        <w:tc>
          <w:tcPr>
            <w:tcW w:w="3604" w:type="dxa"/>
            <w:tcBorders/>
            <w:shd w:color="auto" w:fill="auto" w:val="clear"/>
          </w:tcPr>
          <w:p>
            <w:pPr>
              <w:pStyle w:val="Normal"/>
              <w:spacing w:lineRule="auto" w:line="240"/>
              <w:ind w:left="101" w:hanging="0"/>
              <w:jc w:val="center"/>
              <w:rPr/>
            </w:pPr>
            <w:r>
              <w:rPr/>
              <w:t>5</w:t>
            </w:r>
          </w:p>
        </w:tc>
        <w:tc>
          <w:tcPr>
            <w:tcW w:w="3017" w:type="dxa"/>
            <w:tcBorders/>
            <w:shd w:fill="auto" w:val="clear"/>
          </w:tcPr>
          <w:p>
            <w:pPr>
              <w:pStyle w:val="Normal"/>
              <w:spacing w:lineRule="auto" w:line="240"/>
              <w:ind w:left="101" w:hanging="0"/>
              <w:jc w:val="center"/>
              <w:rPr/>
            </w:pPr>
            <w:r>
              <w:rPr/>
              <w:t>0.04</w:t>
            </w:r>
          </w:p>
        </w:tc>
        <w:tc>
          <w:tcPr>
            <w:tcW w:w="3021" w:type="dxa"/>
            <w:tcBorders/>
            <w:shd w:color="auto" w:fill="auto" w:val="clear"/>
          </w:tcPr>
          <w:p>
            <w:pPr>
              <w:pStyle w:val="Normal"/>
              <w:spacing w:lineRule="auto" w:line="240"/>
              <w:ind w:left="101" w:hanging="0"/>
              <w:jc w:val="center"/>
              <w:rPr/>
            </w:pPr>
            <w:r>
              <w:rPr/>
              <w:t>0.96</w:t>
            </w:r>
          </w:p>
        </w:tc>
      </w:tr>
      <w:tr>
        <w:trPr>
          <w:trHeight w:val="331" w:hRule="exact"/>
        </w:trPr>
        <w:tc>
          <w:tcPr>
            <w:tcW w:w="3604" w:type="dxa"/>
            <w:tcBorders/>
            <w:shd w:color="auto" w:fill="auto" w:val="clear"/>
          </w:tcPr>
          <w:p>
            <w:pPr>
              <w:pStyle w:val="Normal"/>
              <w:spacing w:lineRule="auto" w:line="240"/>
              <w:ind w:left="101" w:hanging="0"/>
              <w:jc w:val="center"/>
              <w:rPr/>
            </w:pPr>
            <w:r>
              <w:rPr/>
              <w:t>6</w:t>
            </w:r>
          </w:p>
        </w:tc>
        <w:tc>
          <w:tcPr>
            <w:tcW w:w="3017" w:type="dxa"/>
            <w:tcBorders/>
            <w:shd w:fill="auto" w:val="clear"/>
          </w:tcPr>
          <w:p>
            <w:pPr>
              <w:pStyle w:val="Normal"/>
              <w:spacing w:lineRule="auto" w:line="240"/>
              <w:ind w:left="101" w:hanging="0"/>
              <w:jc w:val="center"/>
              <w:rPr/>
            </w:pPr>
            <w:r>
              <w:rPr/>
              <w:t>0.13</w:t>
            </w:r>
          </w:p>
        </w:tc>
        <w:tc>
          <w:tcPr>
            <w:tcW w:w="3021" w:type="dxa"/>
            <w:tcBorders/>
            <w:shd w:color="auto" w:fill="auto" w:val="clear"/>
          </w:tcPr>
          <w:p>
            <w:pPr>
              <w:pStyle w:val="Normal"/>
              <w:spacing w:lineRule="auto" w:line="240"/>
              <w:ind w:left="101" w:hanging="0"/>
              <w:jc w:val="center"/>
              <w:rPr/>
            </w:pPr>
            <w:r>
              <w:rPr/>
              <w:t>0.30</w:t>
            </w:r>
          </w:p>
        </w:tc>
      </w:tr>
      <w:tr>
        <w:trPr>
          <w:trHeight w:val="331" w:hRule="exact"/>
        </w:trPr>
        <w:tc>
          <w:tcPr>
            <w:tcW w:w="3604" w:type="dxa"/>
            <w:tcBorders/>
            <w:shd w:color="auto" w:fill="auto" w:val="clear"/>
          </w:tcPr>
          <w:p>
            <w:pPr>
              <w:pStyle w:val="Normal"/>
              <w:spacing w:lineRule="auto" w:line="240"/>
              <w:ind w:left="101" w:hanging="0"/>
              <w:jc w:val="center"/>
              <w:rPr/>
            </w:pPr>
            <w:r>
              <w:rPr/>
              <w:t>7</w:t>
            </w:r>
          </w:p>
        </w:tc>
        <w:tc>
          <w:tcPr>
            <w:tcW w:w="3017" w:type="dxa"/>
            <w:tcBorders/>
            <w:shd w:fill="auto" w:val="clear"/>
          </w:tcPr>
          <w:p>
            <w:pPr>
              <w:pStyle w:val="Normal"/>
              <w:spacing w:lineRule="auto" w:line="240"/>
              <w:ind w:left="101" w:hanging="0"/>
              <w:jc w:val="center"/>
              <w:rPr/>
            </w:pPr>
            <w:r>
              <w:rPr/>
              <w:t>0.08</w:t>
            </w:r>
          </w:p>
        </w:tc>
        <w:tc>
          <w:tcPr>
            <w:tcW w:w="3021" w:type="dxa"/>
            <w:tcBorders/>
            <w:shd w:color="auto" w:fill="auto" w:val="clear"/>
          </w:tcPr>
          <w:p>
            <w:pPr>
              <w:pStyle w:val="Normal"/>
              <w:spacing w:lineRule="auto" w:line="240"/>
              <w:ind w:left="101" w:hanging="0"/>
              <w:jc w:val="center"/>
              <w:rPr/>
            </w:pPr>
            <w:r>
              <w:rPr/>
              <w:t>0.75</w:t>
            </w:r>
          </w:p>
        </w:tc>
      </w:tr>
      <w:tr>
        <w:trPr>
          <w:trHeight w:val="331" w:hRule="exact"/>
        </w:trPr>
        <w:tc>
          <w:tcPr>
            <w:tcW w:w="3604" w:type="dxa"/>
            <w:tcBorders/>
            <w:shd w:color="auto" w:fill="auto" w:val="clear"/>
          </w:tcPr>
          <w:p>
            <w:pPr>
              <w:pStyle w:val="Normal"/>
              <w:spacing w:lineRule="auto" w:line="240"/>
              <w:ind w:left="101" w:hanging="0"/>
              <w:jc w:val="center"/>
              <w:rPr/>
            </w:pPr>
            <w:r>
              <w:rPr/>
              <w:t>8</w:t>
            </w:r>
          </w:p>
        </w:tc>
        <w:tc>
          <w:tcPr>
            <w:tcW w:w="3017" w:type="dxa"/>
            <w:tcBorders/>
            <w:shd w:fill="auto" w:val="clear"/>
          </w:tcPr>
          <w:p>
            <w:pPr>
              <w:pStyle w:val="Normal"/>
              <w:spacing w:lineRule="auto" w:line="240"/>
              <w:ind w:left="101" w:hanging="0"/>
              <w:jc w:val="center"/>
              <w:rPr/>
            </w:pPr>
            <w:r>
              <w:rPr/>
              <w:t>0.33</w:t>
            </w:r>
          </w:p>
        </w:tc>
        <w:tc>
          <w:tcPr>
            <w:tcW w:w="3021" w:type="dxa"/>
            <w:tcBorders/>
            <w:shd w:color="auto" w:fill="auto" w:val="clear"/>
          </w:tcPr>
          <w:p>
            <w:pPr>
              <w:pStyle w:val="Normal"/>
              <w:spacing w:lineRule="auto" w:line="240"/>
              <w:ind w:left="101" w:hanging="0"/>
              <w:jc w:val="center"/>
              <w:rPr/>
            </w:pPr>
            <w:r>
              <w:rPr/>
              <w:t>0.17</w:t>
            </w:r>
          </w:p>
        </w:tc>
      </w:tr>
      <w:tr>
        <w:trPr>
          <w:trHeight w:val="331" w:hRule="exact"/>
        </w:trPr>
        <w:tc>
          <w:tcPr>
            <w:tcW w:w="3604" w:type="dxa"/>
            <w:tcBorders/>
            <w:shd w:color="auto" w:fill="auto" w:val="clear"/>
          </w:tcPr>
          <w:p>
            <w:pPr>
              <w:pStyle w:val="Normal"/>
              <w:spacing w:lineRule="auto" w:line="240"/>
              <w:ind w:left="101" w:hanging="0"/>
              <w:jc w:val="center"/>
              <w:rPr/>
            </w:pPr>
            <w:r>
              <w:rPr/>
              <w:t>9</w:t>
            </w:r>
          </w:p>
        </w:tc>
        <w:tc>
          <w:tcPr>
            <w:tcW w:w="3017" w:type="dxa"/>
            <w:tcBorders/>
            <w:shd w:fill="auto" w:val="clear"/>
          </w:tcPr>
          <w:p>
            <w:pPr>
              <w:pStyle w:val="Normal"/>
              <w:spacing w:lineRule="auto" w:line="240"/>
              <w:ind w:left="101" w:hanging="0"/>
              <w:jc w:val="center"/>
              <w:rPr/>
            </w:pPr>
            <w:r>
              <w:rPr/>
              <w:t>0.11</w:t>
            </w:r>
          </w:p>
        </w:tc>
        <w:tc>
          <w:tcPr>
            <w:tcW w:w="3021" w:type="dxa"/>
            <w:tcBorders/>
            <w:shd w:color="auto" w:fill="auto" w:val="clear"/>
          </w:tcPr>
          <w:p>
            <w:pPr>
              <w:pStyle w:val="Normal"/>
              <w:spacing w:lineRule="auto" w:line="240"/>
              <w:ind w:left="101" w:hanging="0"/>
              <w:jc w:val="center"/>
              <w:rPr/>
            </w:pPr>
            <w:r>
              <w:rPr/>
              <w:t>0.80</w:t>
            </w:r>
          </w:p>
        </w:tc>
      </w:tr>
      <w:tr>
        <w:trPr>
          <w:trHeight w:val="331" w:hRule="exact"/>
        </w:trPr>
        <w:tc>
          <w:tcPr>
            <w:tcW w:w="3604" w:type="dxa"/>
            <w:tcBorders/>
            <w:shd w:color="auto" w:fill="auto" w:val="clear"/>
          </w:tcPr>
          <w:p>
            <w:pPr>
              <w:pStyle w:val="Normal"/>
              <w:spacing w:lineRule="auto" w:line="240"/>
              <w:ind w:left="101" w:hanging="0"/>
              <w:jc w:val="center"/>
              <w:rPr/>
            </w:pPr>
            <w:r>
              <w:rPr/>
              <w:t>10</w:t>
            </w:r>
          </w:p>
        </w:tc>
        <w:tc>
          <w:tcPr>
            <w:tcW w:w="3017" w:type="dxa"/>
            <w:tcBorders/>
            <w:shd w:fill="auto" w:val="clear"/>
          </w:tcPr>
          <w:p>
            <w:pPr>
              <w:pStyle w:val="Normal"/>
              <w:spacing w:lineRule="auto" w:line="240"/>
              <w:ind w:left="101" w:hanging="0"/>
              <w:jc w:val="center"/>
              <w:rPr/>
            </w:pPr>
            <w:r>
              <w:rPr/>
              <w:t>0.38</w:t>
            </w:r>
          </w:p>
        </w:tc>
        <w:tc>
          <w:tcPr>
            <w:tcW w:w="3021" w:type="dxa"/>
            <w:tcBorders/>
            <w:shd w:color="auto" w:fill="auto" w:val="clear"/>
          </w:tcPr>
          <w:p>
            <w:pPr>
              <w:pStyle w:val="Normal"/>
              <w:spacing w:lineRule="auto" w:line="240"/>
              <w:ind w:left="101" w:hanging="0"/>
              <w:jc w:val="center"/>
              <w:rPr/>
            </w:pPr>
            <w:r>
              <w:rPr/>
              <w:t>0.07</w:t>
            </w:r>
          </w:p>
        </w:tc>
      </w:tr>
      <w:tr>
        <w:trPr>
          <w:trHeight w:val="331" w:hRule="exact"/>
        </w:trPr>
        <w:tc>
          <w:tcPr>
            <w:tcW w:w="3604" w:type="dxa"/>
            <w:tcBorders/>
            <w:shd w:color="auto" w:fill="auto" w:val="clear"/>
          </w:tcPr>
          <w:p>
            <w:pPr>
              <w:pStyle w:val="Normal"/>
              <w:spacing w:lineRule="auto" w:line="240"/>
              <w:ind w:left="101" w:hanging="0"/>
              <w:jc w:val="center"/>
              <w:rPr/>
            </w:pPr>
            <w:r>
              <w:rPr/>
              <w:t>11</w:t>
            </w:r>
          </w:p>
        </w:tc>
        <w:tc>
          <w:tcPr>
            <w:tcW w:w="3017" w:type="dxa"/>
            <w:tcBorders/>
            <w:shd w:fill="auto" w:val="clear"/>
          </w:tcPr>
          <w:p>
            <w:pPr>
              <w:pStyle w:val="Normal"/>
              <w:spacing w:lineRule="auto" w:line="240"/>
              <w:ind w:left="101" w:hanging="0"/>
              <w:jc w:val="center"/>
              <w:rPr/>
            </w:pPr>
            <w:r>
              <w:rPr/>
              <w:t>0.40</w:t>
            </w:r>
          </w:p>
        </w:tc>
        <w:tc>
          <w:tcPr>
            <w:tcW w:w="3021" w:type="dxa"/>
            <w:tcBorders/>
            <w:shd w:color="auto" w:fill="auto" w:val="clear"/>
          </w:tcPr>
          <w:p>
            <w:pPr>
              <w:pStyle w:val="Normal"/>
              <w:spacing w:lineRule="auto" w:line="240"/>
              <w:ind w:left="101" w:hanging="0"/>
              <w:jc w:val="center"/>
              <w:rPr/>
            </w:pPr>
            <w:r>
              <w:rPr/>
              <w:t>0.01*</w:t>
            </w:r>
          </w:p>
        </w:tc>
      </w:tr>
      <w:tr>
        <w:trPr>
          <w:trHeight w:val="331" w:hRule="exact"/>
        </w:trPr>
        <w:tc>
          <w:tcPr>
            <w:tcW w:w="3604" w:type="dxa"/>
            <w:tcBorders/>
            <w:shd w:color="auto" w:fill="auto" w:val="clear"/>
          </w:tcPr>
          <w:p>
            <w:pPr>
              <w:pStyle w:val="Normal"/>
              <w:spacing w:lineRule="auto" w:line="240"/>
              <w:ind w:left="101" w:hanging="0"/>
              <w:jc w:val="center"/>
              <w:rPr/>
            </w:pPr>
            <w:r>
              <w:rPr/>
              <w:t>12</w:t>
            </w:r>
          </w:p>
        </w:tc>
        <w:tc>
          <w:tcPr>
            <w:tcW w:w="3017" w:type="dxa"/>
            <w:tcBorders/>
            <w:shd w:fill="auto" w:val="clear"/>
          </w:tcPr>
          <w:p>
            <w:pPr>
              <w:pStyle w:val="Normal"/>
              <w:spacing w:lineRule="auto" w:line="240"/>
              <w:ind w:left="101" w:hanging="0"/>
              <w:jc w:val="center"/>
              <w:rPr/>
            </w:pPr>
            <w:r>
              <w:rPr/>
              <w:t>0.18</w:t>
            </w:r>
          </w:p>
        </w:tc>
        <w:tc>
          <w:tcPr>
            <w:tcW w:w="3021" w:type="dxa"/>
            <w:tcBorders/>
            <w:shd w:color="auto" w:fill="auto" w:val="clear"/>
          </w:tcPr>
          <w:p>
            <w:pPr>
              <w:pStyle w:val="Normal"/>
              <w:spacing w:lineRule="auto" w:line="240"/>
              <w:ind w:left="101" w:hanging="0"/>
              <w:jc w:val="center"/>
              <w:rPr/>
            </w:pPr>
            <w:r>
              <w:rPr/>
              <w:t>0.40</w:t>
            </w:r>
          </w:p>
        </w:tc>
      </w:tr>
      <w:tr>
        <w:trPr>
          <w:trHeight w:val="331" w:hRule="exact"/>
        </w:trPr>
        <w:tc>
          <w:tcPr>
            <w:tcW w:w="3604" w:type="dxa"/>
            <w:tcBorders/>
            <w:shd w:color="auto" w:fill="auto" w:val="clear"/>
          </w:tcPr>
          <w:p>
            <w:pPr>
              <w:pStyle w:val="Normal"/>
              <w:spacing w:lineRule="auto" w:line="240"/>
              <w:ind w:left="101" w:hanging="0"/>
              <w:jc w:val="center"/>
              <w:rPr/>
            </w:pPr>
            <w:r>
              <w:rPr/>
              <w:t>13</w:t>
            </w:r>
          </w:p>
        </w:tc>
        <w:tc>
          <w:tcPr>
            <w:tcW w:w="3017" w:type="dxa"/>
            <w:tcBorders/>
            <w:shd w:fill="auto" w:val="clear"/>
          </w:tcPr>
          <w:p>
            <w:pPr>
              <w:pStyle w:val="Normal"/>
              <w:spacing w:lineRule="auto" w:line="240"/>
              <w:ind w:left="101" w:hanging="0"/>
              <w:jc w:val="center"/>
              <w:rPr/>
            </w:pPr>
            <w:r>
              <w:rPr/>
              <w:t>0.10</w:t>
            </w:r>
          </w:p>
        </w:tc>
        <w:tc>
          <w:tcPr>
            <w:tcW w:w="3021" w:type="dxa"/>
            <w:tcBorders/>
            <w:shd w:color="auto" w:fill="auto" w:val="clear"/>
          </w:tcPr>
          <w:p>
            <w:pPr>
              <w:pStyle w:val="Normal"/>
              <w:spacing w:lineRule="auto" w:line="240"/>
              <w:ind w:left="101" w:hanging="0"/>
              <w:jc w:val="center"/>
              <w:rPr/>
            </w:pPr>
            <w:r>
              <w:rPr/>
              <w:t>0.62</w:t>
            </w:r>
          </w:p>
        </w:tc>
      </w:tr>
      <w:tr>
        <w:trPr>
          <w:trHeight w:val="331" w:hRule="exact"/>
        </w:trPr>
        <w:tc>
          <w:tcPr>
            <w:tcW w:w="3604" w:type="dxa"/>
            <w:tcBorders/>
            <w:shd w:color="auto" w:fill="auto" w:val="clear"/>
          </w:tcPr>
          <w:p>
            <w:pPr>
              <w:pStyle w:val="Normal"/>
              <w:spacing w:lineRule="auto" w:line="240"/>
              <w:ind w:left="101" w:hanging="0"/>
              <w:jc w:val="center"/>
              <w:rPr/>
            </w:pPr>
            <w:r>
              <w:rPr/>
              <w:t>15</w:t>
            </w:r>
          </w:p>
        </w:tc>
        <w:tc>
          <w:tcPr>
            <w:tcW w:w="3017" w:type="dxa"/>
            <w:tcBorders/>
            <w:shd w:fill="auto" w:val="clear"/>
          </w:tcPr>
          <w:p>
            <w:pPr>
              <w:pStyle w:val="Normal"/>
              <w:spacing w:lineRule="auto" w:line="240"/>
              <w:ind w:left="101" w:hanging="0"/>
              <w:jc w:val="center"/>
              <w:rPr/>
            </w:pPr>
            <w:r>
              <w:rPr/>
              <w:t>0.33</w:t>
            </w:r>
          </w:p>
        </w:tc>
        <w:tc>
          <w:tcPr>
            <w:tcW w:w="3021" w:type="dxa"/>
            <w:tcBorders/>
            <w:shd w:color="auto" w:fill="auto" w:val="clear"/>
          </w:tcPr>
          <w:p>
            <w:pPr>
              <w:pStyle w:val="Normal"/>
              <w:spacing w:lineRule="auto" w:line="240"/>
              <w:ind w:left="101" w:hanging="0"/>
              <w:jc w:val="center"/>
              <w:rPr/>
            </w:pPr>
            <w:r>
              <w:rPr/>
              <w:t>0.02*</w:t>
            </w:r>
          </w:p>
        </w:tc>
      </w:tr>
      <w:tr>
        <w:trPr>
          <w:trHeight w:val="331" w:hRule="exact"/>
        </w:trPr>
        <w:tc>
          <w:tcPr>
            <w:tcW w:w="3604" w:type="dxa"/>
            <w:tcBorders/>
            <w:shd w:color="auto" w:fill="auto" w:val="clear"/>
          </w:tcPr>
          <w:p>
            <w:pPr>
              <w:pStyle w:val="Normal"/>
              <w:spacing w:lineRule="auto" w:line="240"/>
              <w:ind w:left="101" w:hanging="0"/>
              <w:jc w:val="center"/>
              <w:rPr/>
            </w:pPr>
            <w:r>
              <w:rPr/>
              <w:t>16</w:t>
            </w:r>
          </w:p>
        </w:tc>
        <w:tc>
          <w:tcPr>
            <w:tcW w:w="3017" w:type="dxa"/>
            <w:tcBorders/>
            <w:shd w:fill="auto" w:val="clear"/>
          </w:tcPr>
          <w:p>
            <w:pPr>
              <w:pStyle w:val="Normal"/>
              <w:spacing w:lineRule="auto" w:line="240"/>
              <w:ind w:left="101" w:hanging="0"/>
              <w:jc w:val="center"/>
              <w:rPr/>
            </w:pPr>
            <w:r>
              <w:rPr/>
              <w:t>0.20</w:t>
            </w:r>
          </w:p>
        </w:tc>
        <w:tc>
          <w:tcPr>
            <w:tcW w:w="3021" w:type="dxa"/>
            <w:tcBorders/>
            <w:shd w:color="auto" w:fill="auto" w:val="clear"/>
          </w:tcPr>
          <w:p>
            <w:pPr>
              <w:pStyle w:val="Normal"/>
              <w:spacing w:lineRule="auto" w:line="240"/>
              <w:ind w:left="101" w:hanging="0"/>
              <w:jc w:val="center"/>
              <w:rPr/>
            </w:pPr>
            <w:r>
              <w:rPr/>
              <w:t>0.06</w:t>
            </w:r>
          </w:p>
        </w:tc>
      </w:tr>
      <w:tr>
        <w:trPr>
          <w:trHeight w:val="331" w:hRule="exact"/>
        </w:trPr>
        <w:tc>
          <w:tcPr>
            <w:tcW w:w="3604" w:type="dxa"/>
            <w:tcBorders/>
            <w:shd w:color="auto" w:fill="auto" w:val="clear"/>
          </w:tcPr>
          <w:p>
            <w:pPr>
              <w:pStyle w:val="Normal"/>
              <w:spacing w:lineRule="auto" w:line="240"/>
              <w:ind w:left="101" w:hanging="0"/>
              <w:jc w:val="center"/>
              <w:rPr/>
            </w:pPr>
            <w:r>
              <w:rPr/>
              <w:t>17</w:t>
            </w:r>
          </w:p>
        </w:tc>
        <w:tc>
          <w:tcPr>
            <w:tcW w:w="3017" w:type="dxa"/>
            <w:tcBorders/>
            <w:shd w:fill="auto" w:val="clear"/>
          </w:tcPr>
          <w:p>
            <w:pPr>
              <w:pStyle w:val="Normal"/>
              <w:spacing w:lineRule="auto" w:line="240"/>
              <w:ind w:left="101" w:hanging="0"/>
              <w:jc w:val="center"/>
              <w:rPr/>
            </w:pPr>
            <w:r>
              <w:rPr/>
              <w:t>0.05</w:t>
            </w:r>
          </w:p>
        </w:tc>
        <w:tc>
          <w:tcPr>
            <w:tcW w:w="3021" w:type="dxa"/>
            <w:tcBorders/>
            <w:shd w:color="auto" w:fill="auto" w:val="clear"/>
          </w:tcPr>
          <w:p>
            <w:pPr>
              <w:pStyle w:val="Normal"/>
              <w:spacing w:lineRule="auto" w:line="240"/>
              <w:ind w:left="101" w:hanging="0"/>
              <w:jc w:val="center"/>
              <w:rPr/>
            </w:pPr>
            <w:r>
              <w:rPr/>
              <w:t>0.76</w:t>
            </w:r>
          </w:p>
        </w:tc>
      </w:tr>
      <w:tr>
        <w:trPr>
          <w:trHeight w:val="331" w:hRule="exact"/>
        </w:trPr>
        <w:tc>
          <w:tcPr>
            <w:tcW w:w="3604" w:type="dxa"/>
            <w:tcBorders/>
            <w:shd w:color="auto" w:fill="auto" w:val="clear"/>
          </w:tcPr>
          <w:p>
            <w:pPr>
              <w:pStyle w:val="Normal"/>
              <w:spacing w:lineRule="auto" w:line="240"/>
              <w:ind w:left="101" w:hanging="0"/>
              <w:jc w:val="center"/>
              <w:rPr/>
            </w:pPr>
            <w:r>
              <w:rPr/>
              <w:t>18</w:t>
            </w:r>
          </w:p>
        </w:tc>
        <w:tc>
          <w:tcPr>
            <w:tcW w:w="3017" w:type="dxa"/>
            <w:tcBorders/>
            <w:shd w:fill="auto" w:val="clear"/>
          </w:tcPr>
          <w:p>
            <w:pPr>
              <w:pStyle w:val="Normal"/>
              <w:spacing w:lineRule="auto" w:line="240"/>
              <w:ind w:left="101" w:hanging="0"/>
              <w:jc w:val="center"/>
              <w:rPr/>
            </w:pPr>
            <w:r>
              <w:rPr/>
              <w:t>0.37</w:t>
            </w:r>
          </w:p>
        </w:tc>
        <w:tc>
          <w:tcPr>
            <w:tcW w:w="3021" w:type="dxa"/>
            <w:tcBorders/>
            <w:shd w:color="auto" w:fill="auto" w:val="clear"/>
          </w:tcPr>
          <w:p>
            <w:pPr>
              <w:pStyle w:val="Normal"/>
              <w:spacing w:lineRule="auto" w:line="240"/>
              <w:ind w:left="101" w:hanging="0"/>
              <w:jc w:val="center"/>
              <w:rPr/>
            </w:pPr>
            <w:r>
              <w:rPr/>
              <w:t>0.02*</w:t>
            </w:r>
          </w:p>
        </w:tc>
      </w:tr>
      <w:tr>
        <w:trPr>
          <w:trHeight w:val="331" w:hRule="exact"/>
        </w:trPr>
        <w:tc>
          <w:tcPr>
            <w:tcW w:w="3604" w:type="dxa"/>
            <w:tcBorders/>
            <w:shd w:color="auto" w:fill="auto" w:val="clear"/>
          </w:tcPr>
          <w:p>
            <w:pPr>
              <w:pStyle w:val="Normal"/>
              <w:spacing w:lineRule="auto" w:line="240"/>
              <w:ind w:left="101" w:hanging="0"/>
              <w:jc w:val="center"/>
              <w:rPr/>
            </w:pPr>
            <w:r>
              <w:rPr/>
              <w:t>19</w:t>
            </w:r>
          </w:p>
        </w:tc>
        <w:tc>
          <w:tcPr>
            <w:tcW w:w="3017" w:type="dxa"/>
            <w:tcBorders/>
            <w:shd w:fill="auto" w:val="clear"/>
          </w:tcPr>
          <w:p>
            <w:pPr>
              <w:pStyle w:val="Normal"/>
              <w:spacing w:lineRule="auto" w:line="240"/>
              <w:ind w:left="101" w:hanging="0"/>
              <w:jc w:val="center"/>
              <w:rPr/>
            </w:pPr>
            <w:r>
              <w:rPr/>
              <w:t>0.21</w:t>
            </w:r>
          </w:p>
        </w:tc>
        <w:tc>
          <w:tcPr>
            <w:tcW w:w="3021" w:type="dxa"/>
            <w:tcBorders/>
            <w:shd w:color="auto" w:fill="auto" w:val="clear"/>
          </w:tcPr>
          <w:p>
            <w:pPr>
              <w:pStyle w:val="Normal"/>
              <w:spacing w:lineRule="auto" w:line="240"/>
              <w:ind w:left="101" w:hanging="0"/>
              <w:jc w:val="center"/>
              <w:rPr/>
            </w:pPr>
            <w:r>
              <w:rPr/>
              <w:t>0.17</w:t>
            </w:r>
          </w:p>
        </w:tc>
      </w:tr>
      <w:tr>
        <w:trPr>
          <w:trHeight w:val="331" w:hRule="exact"/>
        </w:trPr>
        <w:tc>
          <w:tcPr>
            <w:tcW w:w="3604" w:type="dxa"/>
            <w:tcBorders>
              <w:bottom w:val="single" w:sz="8" w:space="0" w:color="000000"/>
            </w:tcBorders>
            <w:shd w:color="auto" w:fill="auto" w:val="clear"/>
          </w:tcPr>
          <w:p>
            <w:pPr>
              <w:pStyle w:val="Normal"/>
              <w:spacing w:lineRule="auto" w:line="240"/>
              <w:ind w:left="101" w:hanging="0"/>
              <w:jc w:val="center"/>
              <w:rPr/>
            </w:pPr>
            <w:r>
              <w:rPr/>
              <w:t>20</w:t>
            </w:r>
          </w:p>
        </w:tc>
        <w:tc>
          <w:tcPr>
            <w:tcW w:w="3017" w:type="dxa"/>
            <w:tcBorders>
              <w:bottom w:val="single" w:sz="8" w:space="0" w:color="000000"/>
            </w:tcBorders>
            <w:shd w:fill="auto" w:val="clear"/>
          </w:tcPr>
          <w:p>
            <w:pPr>
              <w:pStyle w:val="Normal"/>
              <w:spacing w:lineRule="auto" w:line="240"/>
              <w:ind w:left="101" w:hanging="0"/>
              <w:jc w:val="center"/>
              <w:rPr/>
            </w:pPr>
            <w:r>
              <w:rPr/>
              <w:t>0.19</w:t>
            </w:r>
          </w:p>
        </w:tc>
        <w:tc>
          <w:tcPr>
            <w:tcW w:w="3021" w:type="dxa"/>
            <w:tcBorders>
              <w:bottom w:val="single" w:sz="8" w:space="0" w:color="000000"/>
            </w:tcBorders>
            <w:shd w:color="auto" w:fill="auto" w:val="clear"/>
          </w:tcPr>
          <w:p>
            <w:pPr>
              <w:pStyle w:val="Normal"/>
              <w:spacing w:lineRule="auto" w:line="240"/>
              <w:ind w:left="101" w:hanging="0"/>
              <w:jc w:val="center"/>
              <w:rPr/>
            </w:pPr>
            <w:r>
              <w:rPr/>
              <w:t>0.44</w:t>
            </w:r>
          </w:p>
        </w:tc>
      </w:tr>
    </w:tbl>
    <w:p>
      <w:pPr>
        <w:pStyle w:val="Normal"/>
        <w:rPr>
          <w:b/>
          <w:b/>
        </w:rPr>
      </w:pPr>
      <w:r>
        <w:rPr>
          <w:b/>
        </w:rPr>
      </w:r>
    </w:p>
    <w:p>
      <w:pPr>
        <w:pStyle w:val="Normal"/>
        <w:rPr>
          <w:b/>
          <w:b/>
        </w:rPr>
      </w:pPr>
      <w:r>
        <w:rPr>
          <w:b/>
        </w:rPr>
        <w:t>Item Recognition Performance</w:t>
      </w:r>
    </w:p>
    <w:p>
      <w:pPr>
        <w:pStyle w:val="Normal"/>
        <w:ind w:firstLine="720"/>
        <w:rPr/>
      </w:pPr>
      <w:r>
        <w:rPr/>
        <w:t xml:space="preserve">An independent samples </w:t>
      </w:r>
      <w:r>
        <w:rPr>
          <w:i/>
        </w:rPr>
        <w:t>t</w:t>
      </w:r>
      <w:r>
        <w:rPr/>
        <w:t xml:space="preserve">-test applied to individual-level hit rates for high and low imageability conditions (Table 5) indicated that there was no significant difference in hit rates across the two conditions </w:t>
      </w:r>
      <w:r>
        <w:rPr>
          <w:i/>
        </w:rPr>
        <w:t>t</w:t>
      </w:r>
      <w:r>
        <w:rPr/>
        <w:t xml:space="preserve">(35.85) = .68, </w:t>
      </w:r>
      <w:r>
        <w:rPr>
          <w:i/>
        </w:rPr>
        <w:t xml:space="preserve">p </w:t>
      </w:r>
      <w:r>
        <w:rPr/>
        <w:t xml:space="preserve">= .503. </w:t>
      </w:r>
      <w:ins w:id="232" w:author="Unknown Author" w:date="2020-04-15T11:04:38Z">
        <w:r>
          <w:rPr/>
          <w:t xml:space="preserve">[Where do the fractional degrees of freedom come from? Is </w:t>
        </w:r>
      </w:ins>
      <w:ins w:id="233" w:author="Unknown Author" w:date="2020-04-15T11:05:00Z">
        <w:r>
          <w:rPr/>
          <w:t xml:space="preserve">some kind of adjustment for unequal variances? If so, say.] </w:t>
        </w:r>
      </w:ins>
      <w:r>
        <w:rPr/>
        <w:t xml:space="preserve">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pPr>
        <w:pStyle w:val="Normal"/>
        <w:ind w:firstLine="720"/>
        <w:rPr/>
      </w:pPr>
      <w:r>
        <w:rPr/>
      </w:r>
    </w:p>
    <w:tbl>
      <w:tblPr>
        <w:tblW w:w="9360" w:type="dxa"/>
        <w:jc w:val="center"/>
        <w:tblInd w:w="0" w:type="dxa"/>
        <w:tblCellMar>
          <w:top w:w="0" w:type="dxa"/>
          <w:left w:w="108" w:type="dxa"/>
          <w:bottom w:w="0" w:type="dxa"/>
          <w:right w:w="108" w:type="dxa"/>
        </w:tblCellMar>
        <w:tblLook w:val="04a0" w:noVBand="1" w:noHBand="0" w:lastColumn="0" w:firstColumn="1" w:lastRow="0" w:firstRow="1"/>
      </w:tblPr>
      <w:tblGrid>
        <w:gridCol w:w="2246"/>
        <w:gridCol w:w="1494"/>
        <w:gridCol w:w="1872"/>
        <w:gridCol w:w="1872"/>
        <w:gridCol w:w="1876"/>
      </w:tblGrid>
      <w:tr>
        <w:trPr>
          <w:trHeight w:val="552" w:hRule="atLeast"/>
        </w:trPr>
        <w:tc>
          <w:tcPr>
            <w:tcW w:w="9360" w:type="dxa"/>
            <w:gridSpan w:val="5"/>
            <w:tcBorders>
              <w:bottom w:val="single" w:sz="4" w:space="0" w:color="000000"/>
            </w:tcBorders>
            <w:shd w:color="auto" w:fill="auto" w:val="clear"/>
            <w:vAlign w:val="center"/>
          </w:tcPr>
          <w:p>
            <w:pPr>
              <w:pStyle w:val="Normal"/>
              <w:spacing w:lineRule="auto" w:line="240"/>
              <w:rPr/>
            </w:pPr>
            <w:r>
              <w:rPr/>
              <w:t>Table 5</w:t>
            </w:r>
          </w:p>
          <w:p>
            <w:pPr>
              <w:pStyle w:val="Normal"/>
              <w:spacing w:lineRule="auto" w:line="240"/>
              <w:rPr/>
            </w:pPr>
            <w:r>
              <w:rPr/>
              <w:t xml:space="preserve">Item Recognition Hit Rates and False Alarms </w:t>
            </w:r>
          </w:p>
        </w:tc>
      </w:tr>
      <w:tr>
        <w:trPr>
          <w:trHeight w:val="552" w:hRule="atLeast"/>
        </w:trPr>
        <w:tc>
          <w:tcPr>
            <w:tcW w:w="2246" w:type="dxa"/>
            <w:tcBorders>
              <w:top w:val="single" w:sz="4" w:space="0" w:color="000000"/>
              <w:bottom w:val="single" w:sz="4" w:space="0" w:color="000000"/>
            </w:tcBorders>
            <w:shd w:color="auto" w:fill="auto" w:val="clear"/>
            <w:vAlign w:val="center"/>
          </w:tcPr>
          <w:p>
            <w:pPr>
              <w:pStyle w:val="Normal"/>
              <w:spacing w:lineRule="auto" w:line="240"/>
              <w:jc w:val="center"/>
              <w:rPr/>
            </w:pPr>
            <w:r>
              <w:rPr/>
              <w:t>Condition</w:t>
            </w:r>
          </w:p>
        </w:tc>
        <w:tc>
          <w:tcPr>
            <w:tcW w:w="3366"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Hit Rate</w:t>
            </w:r>
          </w:p>
        </w:tc>
        <w:tc>
          <w:tcPr>
            <w:tcW w:w="3748"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False Alarms</w:t>
            </w:r>
          </w:p>
        </w:tc>
      </w:tr>
      <w:tr>
        <w:trPr>
          <w:trHeight w:val="413" w:hRule="atLeast"/>
        </w:trPr>
        <w:tc>
          <w:tcPr>
            <w:tcW w:w="2246" w:type="dxa"/>
            <w:tcBorders>
              <w:top w:val="single" w:sz="4" w:space="0" w:color="000000"/>
            </w:tcBorders>
            <w:shd w:color="auto" w:fill="auto" w:val="clear"/>
            <w:vAlign w:val="center"/>
          </w:tcPr>
          <w:p>
            <w:pPr>
              <w:pStyle w:val="Normal"/>
              <w:spacing w:lineRule="auto" w:line="240"/>
              <w:jc w:val="center"/>
              <w:rPr/>
            </w:pPr>
            <w:r>
              <w:rPr/>
            </w:r>
          </w:p>
        </w:tc>
        <w:tc>
          <w:tcPr>
            <w:tcW w:w="1494"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6"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r>
      <w:tr>
        <w:trPr>
          <w:trHeight w:val="552" w:hRule="atLeast"/>
        </w:trPr>
        <w:tc>
          <w:tcPr>
            <w:tcW w:w="2246" w:type="dxa"/>
            <w:tcBorders/>
            <w:shd w:color="auto" w:fill="auto" w:val="clear"/>
            <w:vAlign w:val="center"/>
          </w:tcPr>
          <w:p>
            <w:pPr>
              <w:pStyle w:val="Normal"/>
              <w:spacing w:lineRule="auto" w:line="240"/>
              <w:jc w:val="center"/>
              <w:rPr/>
            </w:pPr>
            <w:r>
              <w:rPr/>
              <w:t>High Imageability</w:t>
            </w:r>
          </w:p>
        </w:tc>
        <w:tc>
          <w:tcPr>
            <w:tcW w:w="1494" w:type="dxa"/>
            <w:tcBorders>
              <w:top w:val="single" w:sz="4" w:space="0" w:color="000000"/>
            </w:tcBorders>
            <w:shd w:color="auto" w:fill="auto" w:val="clear"/>
            <w:vAlign w:val="center"/>
          </w:tcPr>
          <w:p>
            <w:pPr>
              <w:pStyle w:val="Normal"/>
              <w:spacing w:lineRule="auto" w:line="240"/>
              <w:jc w:val="center"/>
              <w:rPr/>
            </w:pPr>
            <w:r>
              <w:rPr/>
              <w:t>.87</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6" w:type="dxa"/>
            <w:tcBorders>
              <w:top w:val="single" w:sz="4" w:space="0" w:color="000000"/>
            </w:tcBorders>
            <w:shd w:color="auto" w:fill="auto" w:val="clear"/>
            <w:vAlign w:val="center"/>
          </w:tcPr>
          <w:p>
            <w:pPr>
              <w:pStyle w:val="Normal"/>
              <w:spacing w:lineRule="auto" w:line="240"/>
              <w:jc w:val="center"/>
              <w:rPr/>
            </w:pPr>
            <w:r>
              <w:rPr/>
              <w:t>.10</w:t>
            </w:r>
          </w:p>
        </w:tc>
      </w:tr>
      <w:tr>
        <w:trPr>
          <w:trHeight w:val="552" w:hRule="atLeast"/>
        </w:trPr>
        <w:tc>
          <w:tcPr>
            <w:tcW w:w="2246" w:type="dxa"/>
            <w:tcBorders>
              <w:bottom w:val="single" w:sz="4" w:space="0" w:color="000000"/>
            </w:tcBorders>
            <w:shd w:color="auto" w:fill="auto" w:val="clear"/>
            <w:vAlign w:val="center"/>
          </w:tcPr>
          <w:p>
            <w:pPr>
              <w:pStyle w:val="Normal"/>
              <w:spacing w:lineRule="auto" w:line="240"/>
              <w:jc w:val="center"/>
              <w:rPr/>
            </w:pPr>
            <w:r>
              <w:rPr/>
              <w:t>Low Imageability</w:t>
            </w:r>
          </w:p>
        </w:tc>
        <w:tc>
          <w:tcPr>
            <w:tcW w:w="1494" w:type="dxa"/>
            <w:tcBorders>
              <w:bottom w:val="single" w:sz="4" w:space="0" w:color="000000"/>
            </w:tcBorders>
            <w:shd w:color="auto" w:fill="auto" w:val="clear"/>
            <w:vAlign w:val="center"/>
          </w:tcPr>
          <w:p>
            <w:pPr>
              <w:pStyle w:val="Normal"/>
              <w:spacing w:lineRule="auto" w:line="240"/>
              <w:jc w:val="center"/>
              <w:rPr/>
            </w:pPr>
            <w:r>
              <w:rPr/>
              <w:t>.84</w:t>
            </w:r>
          </w:p>
        </w:tc>
        <w:tc>
          <w:tcPr>
            <w:tcW w:w="1872" w:type="dxa"/>
            <w:tcBorders>
              <w:bottom w:val="single" w:sz="4" w:space="0" w:color="000000"/>
            </w:tcBorders>
            <w:shd w:color="auto" w:fill="auto" w:val="clear"/>
            <w:vAlign w:val="center"/>
          </w:tcPr>
          <w:p>
            <w:pPr>
              <w:pStyle w:val="Normal"/>
              <w:spacing w:lineRule="auto" w:line="240"/>
              <w:jc w:val="center"/>
              <w:rPr/>
            </w:pPr>
            <w:r>
              <w:rPr/>
              <w:t>.13</w:t>
            </w:r>
          </w:p>
        </w:tc>
        <w:tc>
          <w:tcPr>
            <w:tcW w:w="1872" w:type="dxa"/>
            <w:tcBorders>
              <w:bottom w:val="single" w:sz="4" w:space="0" w:color="000000"/>
            </w:tcBorders>
            <w:shd w:color="auto" w:fill="auto" w:val="clear"/>
            <w:vAlign w:val="center"/>
          </w:tcPr>
          <w:p>
            <w:pPr>
              <w:pStyle w:val="Normal"/>
              <w:spacing w:lineRule="auto" w:line="240"/>
              <w:jc w:val="center"/>
              <w:rPr/>
            </w:pPr>
            <w:r>
              <w:rPr/>
              <w:t>.14</w:t>
            </w:r>
          </w:p>
        </w:tc>
        <w:tc>
          <w:tcPr>
            <w:tcW w:w="1876" w:type="dxa"/>
            <w:tcBorders>
              <w:bottom w:val="single" w:sz="4" w:space="0" w:color="000000"/>
            </w:tcBorders>
            <w:shd w:color="auto" w:fill="auto" w:val="clear"/>
            <w:vAlign w:val="center"/>
          </w:tcPr>
          <w:p>
            <w:pPr>
              <w:pStyle w:val="Normal"/>
              <w:spacing w:lineRule="auto" w:line="240"/>
              <w:jc w:val="center"/>
              <w:rPr/>
            </w:pPr>
            <w:r>
              <w:rPr/>
              <w:t>.11</w:t>
            </w:r>
          </w:p>
        </w:tc>
      </w:tr>
    </w:tbl>
    <w:p>
      <w:pPr>
        <w:pStyle w:val="Normal"/>
        <w:ind w:firstLine="720"/>
        <w:rPr>
          <w:i/>
          <w:i/>
        </w:rPr>
      </w:pPr>
      <w:r>
        <w:rPr>
          <w:i/>
        </w:rPr>
      </w:r>
    </w:p>
    <w:p>
      <w:pPr>
        <w:pStyle w:val="Normal"/>
        <w:rPr>
          <w:b/>
          <w:b/>
        </w:rPr>
      </w:pPr>
      <w:r>
        <w:rPr>
          <w:b/>
        </w:rPr>
      </w:r>
    </w:p>
    <w:p>
      <w:pPr>
        <w:pStyle w:val="Normal"/>
        <w:rPr>
          <w:b/>
          <w:b/>
        </w:rPr>
      </w:pPr>
      <w:r>
        <w:rPr>
          <w:b/>
        </w:rPr>
        <w:t>Mixture Model</w:t>
      </w:r>
    </w:p>
    <w:p>
      <w:pPr>
        <w:pStyle w:val="Normal"/>
        <w:ind w:firstLine="720"/>
        <w:rPr/>
      </w:pPr>
      <w:r>
        <w:rPr/>
        <w:t xml:space="preserve"> </w:t>
      </w:r>
      <w:r>
        <w:rPr/>
        <w:t xml:space="preserve">Following Harlow and Donaldson (2013), we used the </w:t>
      </w:r>
      <w:bookmarkStart w:id="13" w:name="_Hlk25747095"/>
      <w:r>
        <w:rPr/>
        <w:t>Zhang and Luck (2008) two-component mixture model to fit the marginal distribution of response error</w:t>
      </w:r>
      <w:bookmarkEnd w:id="13"/>
      <w:r>
        <w:rPr/>
        <w:t xml:space="preserve">. The model had two free parameters, one for the von Mises </w:t>
      </w:r>
      <w:commentRangeStart w:id="11"/>
      <w:r>
        <w:rPr/>
        <w:t>precision</w:t>
      </w:r>
      <w:r>
        <w:rPr/>
      </w:r>
      <w:commentRangeEnd w:id="11"/>
      <w:r>
        <w:commentReference w:id="11"/>
      </w:r>
      <w:r>
        <w:rPr/>
        <w:t xml:space="preserve">, which described the spread of responses around the true location, and a mixing parameter </w:t>
      </w:r>
      <w:r>
        <w:rPr>
          <w:i/>
        </w:rPr>
        <w:t>π</w:t>
      </w:r>
      <w:r>
        <w:rPr>
          <w:bCs/>
        </w:rPr>
        <w:t>,</w:t>
      </w:r>
      <w:r>
        <w:rPr>
          <w:i/>
        </w:rPr>
        <w:t xml:space="preserve"> </w:t>
      </w:r>
      <w:r>
        <w:rPr/>
        <w:t xml:space="preserve">which described the proportion of trials which were driven by information in a von Mises distribution, as opposed to guesses in a uniform distribution. The mean </w:t>
      </w:r>
      <w:commentRangeStart w:id="12"/>
      <w:r>
        <w:rPr/>
        <w:t xml:space="preserve">best fitting parameters </w:t>
      </w:r>
      <w:r>
        <w:rPr/>
      </w:r>
      <w:commentRangeEnd w:id="12"/>
      <w:r>
        <w:commentReference w:id="12"/>
      </w:r>
      <w:r>
        <w:rPr/>
        <w:t xml:space="preserve">of the mixture model to the response accuracy data, excluding the low response accuracy group, are shown in Table 6. The parameter estimates </w:t>
      </w:r>
      <w:ins w:id="234" w:author="Unknown Author" w:date="2020-04-15T11:06:31Z">
        <w:r>
          <w:rPr/>
          <w:t xml:space="preserve">for the individual participants </w:t>
        </w:r>
      </w:ins>
      <w:del w:id="235" w:author="Unknown Author" w:date="2020-04-15T11:06:42Z">
        <w:r>
          <w:rPr/>
          <w:delText>at an individual level are</w:delText>
        </w:r>
      </w:del>
      <w:r>
        <w:rPr/>
        <w:t xml:space="preserve"> </w:t>
      </w:r>
      <w:ins w:id="236" w:author="Unknown Author" w:date="2020-04-15T11:06:46Z">
        <w:r>
          <w:rPr/>
          <w:t xml:space="preserve">are </w:t>
        </w:r>
      </w:ins>
      <w:ins w:id="237" w:author="Unknown Author" w:date="2020-04-15T11:07:35Z">
        <w:r>
          <w:rPr/>
          <w:t xml:space="preserve">shown </w:t>
        </w:r>
      </w:ins>
      <w:r>
        <w:rPr/>
        <w:t xml:space="preserve">in Appendix X. </w:t>
      </w:r>
    </w:p>
    <w:p>
      <w:pPr>
        <w:pStyle w:val="Normal"/>
        <w:ind w:firstLine="720"/>
        <w:rPr>
          <w:del w:id="238" w:author="Unknown Author" w:date="2020-03-30T13:31:00Z"/>
        </w:rPr>
      </w:pPr>
      <w:r>
        <w:rP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p>
      <w:pPr>
        <w:pStyle w:val="Normal"/>
        <w:ind w:firstLine="720"/>
        <w:rPr/>
      </w:pPr>
      <w:r>
        <w:rPr/>
      </w:r>
    </w:p>
    <w:tbl>
      <w:tblPr>
        <w:tblW w:w="9174" w:type="dxa"/>
        <w:jc w:val="left"/>
        <w:tblInd w:w="0" w:type="dxa"/>
        <w:tblCellMar>
          <w:top w:w="0" w:type="dxa"/>
          <w:left w:w="108" w:type="dxa"/>
          <w:bottom w:w="0" w:type="dxa"/>
          <w:right w:w="108" w:type="dxa"/>
        </w:tblCellMar>
        <w:tblLook w:val="04a0" w:noVBand="1" w:noHBand="0" w:lastColumn="0" w:firstColumn="1" w:lastRow="0" w:firstRow="1"/>
      </w:tblPr>
      <w:tblGrid>
        <w:gridCol w:w="2260"/>
        <w:gridCol w:w="1725"/>
        <w:gridCol w:w="1725"/>
        <w:gridCol w:w="1725"/>
        <w:gridCol w:w="1739"/>
      </w:tblGrid>
      <w:tr>
        <w:trPr>
          <w:trHeight w:val="453" w:hRule="atLeast"/>
        </w:trPr>
        <w:tc>
          <w:tcPr>
            <w:tcW w:w="9174" w:type="dxa"/>
            <w:gridSpan w:val="5"/>
            <w:tcBorders/>
            <w:shd w:color="auto" w:fill="auto" w:val="clear"/>
          </w:tcPr>
          <w:p>
            <w:pPr>
              <w:pStyle w:val="Normal"/>
              <w:spacing w:lineRule="auto" w:line="240"/>
              <w:rPr/>
            </w:pPr>
            <w:r>
              <w:rPr/>
              <w:t>Table 6</w:t>
            </w:r>
          </w:p>
        </w:tc>
      </w:tr>
      <w:tr>
        <w:trPr>
          <w:trHeight w:val="453" w:hRule="atLeast"/>
        </w:trPr>
        <w:tc>
          <w:tcPr>
            <w:tcW w:w="9174" w:type="dxa"/>
            <w:gridSpan w:val="5"/>
            <w:tcBorders>
              <w:bottom w:val="single" w:sz="4" w:space="0" w:color="000000"/>
            </w:tcBorders>
            <w:shd w:color="auto" w:fill="auto" w:val="clear"/>
          </w:tcPr>
          <w:p>
            <w:pPr>
              <w:pStyle w:val="Normal"/>
              <w:spacing w:lineRule="auto" w:line="240"/>
              <w:rPr>
                <w:i/>
                <w:i/>
              </w:rPr>
            </w:pPr>
            <w:r>
              <w:rPr>
                <w:i/>
              </w:rPr>
              <w:t>Parameter Values for Best Fits of the Simple Mixture Model to Highly Recognized Individual Data.</w:t>
            </w:r>
          </w:p>
        </w:tc>
      </w:tr>
      <w:tr>
        <w:trPr>
          <w:trHeight w:val="453" w:hRule="atLeast"/>
        </w:trPr>
        <w:tc>
          <w:tcPr>
            <w:tcW w:w="2260" w:type="dxa"/>
            <w:tcBorders>
              <w:top w:val="single" w:sz="4" w:space="0" w:color="000000"/>
            </w:tcBorders>
            <w:shd w:color="auto" w:fill="auto" w:val="clear"/>
            <w:vAlign w:val="bottom"/>
          </w:tcPr>
          <w:p>
            <w:pPr>
              <w:pStyle w:val="Normal"/>
              <w:spacing w:lineRule="auto" w:line="240"/>
              <w:rPr/>
            </w:pPr>
            <w:r>
              <w:rPr/>
              <w:t>Recognition Rating</w:t>
            </w:r>
          </w:p>
        </w:tc>
        <w:tc>
          <w:tcPr>
            <w:tcW w:w="3450" w:type="dxa"/>
            <w:gridSpan w:val="2"/>
            <w:tcBorders>
              <w:top w:val="single" w:sz="4" w:space="0" w:color="000000"/>
            </w:tcBorders>
            <w:shd w:color="auto" w:fill="auto" w:val="clear"/>
            <w:vAlign w:val="center"/>
          </w:tcPr>
          <w:p>
            <w:pPr>
              <w:pStyle w:val="Normal"/>
              <w:spacing w:lineRule="auto" w:line="240"/>
              <w:jc w:val="center"/>
              <w:rPr/>
            </w:pPr>
            <w:r>
              <w:rPr/>
              <w:t>Low Imageability</w:t>
            </w:r>
          </w:p>
        </w:tc>
        <w:tc>
          <w:tcPr>
            <w:tcW w:w="3464" w:type="dxa"/>
            <w:gridSpan w:val="2"/>
            <w:tcBorders>
              <w:top w:val="single" w:sz="4" w:space="0" w:color="000000"/>
            </w:tcBorders>
            <w:shd w:color="auto" w:fill="auto" w:val="clear"/>
            <w:vAlign w:val="center"/>
          </w:tcPr>
          <w:p>
            <w:pPr>
              <w:pStyle w:val="Normal"/>
              <w:spacing w:lineRule="auto" w:line="240"/>
              <w:jc w:val="center"/>
              <w:rPr/>
            </w:pPr>
            <w:r>
              <w:rPr/>
              <w:t>High Imageability</w:t>
            </w:r>
          </w:p>
        </w:tc>
      </w:tr>
      <w:tr>
        <w:trPr>
          <w:trHeight w:val="453" w:hRule="atLeast"/>
        </w:trPr>
        <w:tc>
          <w:tcPr>
            <w:tcW w:w="2260" w:type="dxa"/>
            <w:tcBorders>
              <w:bottom w:val="single" w:sz="4" w:space="0" w:color="000000"/>
            </w:tcBorders>
            <w:shd w:color="auto" w:fill="auto" w:val="clear"/>
            <w:vAlign w:val="bottom"/>
          </w:tcPr>
          <w:p>
            <w:pPr>
              <w:pStyle w:val="Normal"/>
              <w:spacing w:lineRule="auto" w:line="240"/>
              <w:rPr/>
            </w:pPr>
            <w:r>
              <w:rPr/>
            </w:r>
          </w:p>
        </w:tc>
        <w:tc>
          <w:tcPr>
            <w:tcW w:w="1725" w:type="dxa"/>
            <w:tcBorders>
              <w:bottom w:val="single" w:sz="4" w:space="0" w:color="000000"/>
            </w:tcBorders>
            <w:shd w:color="auto" w:fill="auto" w:val="clear"/>
            <w:vAlign w:val="center"/>
          </w:tcPr>
          <w:p>
            <w:pPr>
              <w:pStyle w:val="Normal"/>
              <w:spacing w:lineRule="auto" w:line="240"/>
              <w:jc w:val="center"/>
              <w:rPr/>
            </w:pPr>
            <w:r>
              <w:rPr/>
              <w:t>Precision</w:t>
            </w:r>
          </w:p>
        </w:tc>
        <w:tc>
          <w:tcPr>
            <w:tcW w:w="1725" w:type="dxa"/>
            <w:tcBorders>
              <w:bottom w:val="single" w:sz="4" w:space="0" w:color="000000"/>
            </w:tcBorders>
            <w:shd w:color="auto" w:fill="auto" w:val="clear"/>
            <w:vAlign w:val="center"/>
          </w:tcPr>
          <w:p>
            <w:pPr>
              <w:pStyle w:val="Normal"/>
              <w:spacing w:lineRule="auto" w:line="240"/>
              <w:jc w:val="center"/>
              <w:rPr>
                <w:i/>
                <w:i/>
              </w:rPr>
            </w:pPr>
            <w:r>
              <w:rPr>
                <w:i/>
              </w:rPr>
              <w:t>π</w:t>
            </w:r>
          </w:p>
        </w:tc>
        <w:tc>
          <w:tcPr>
            <w:tcW w:w="1725" w:type="dxa"/>
            <w:tcBorders>
              <w:bottom w:val="single" w:sz="4" w:space="0" w:color="000000"/>
            </w:tcBorders>
            <w:shd w:color="auto" w:fill="auto" w:val="clear"/>
            <w:vAlign w:val="center"/>
          </w:tcPr>
          <w:p>
            <w:pPr>
              <w:pStyle w:val="Normal"/>
              <w:spacing w:lineRule="auto" w:line="240"/>
              <w:jc w:val="center"/>
              <w:rPr/>
            </w:pPr>
            <w:r>
              <w:rPr/>
              <w:t>Precision</w:t>
            </w:r>
          </w:p>
        </w:tc>
        <w:tc>
          <w:tcPr>
            <w:tcW w:w="1739" w:type="dxa"/>
            <w:tcBorders>
              <w:bottom w:val="single" w:sz="4" w:space="0" w:color="000000"/>
            </w:tcBorders>
            <w:shd w:color="auto" w:fill="auto" w:val="clear"/>
            <w:vAlign w:val="center"/>
          </w:tcPr>
          <w:p>
            <w:pPr>
              <w:pStyle w:val="Normal"/>
              <w:spacing w:lineRule="auto" w:line="240"/>
              <w:jc w:val="center"/>
              <w:rPr>
                <w:i/>
                <w:i/>
              </w:rPr>
            </w:pPr>
            <w:r>
              <w:rPr>
                <w:i/>
              </w:rPr>
              <w:t>π</w:t>
            </w:r>
          </w:p>
        </w:tc>
      </w:tr>
      <w:tr>
        <w:trPr>
          <w:trHeight w:val="453" w:hRule="atLeast"/>
        </w:trPr>
        <w:tc>
          <w:tcPr>
            <w:tcW w:w="2260" w:type="dxa"/>
            <w:tcBorders>
              <w:top w:val="single" w:sz="4" w:space="0" w:color="000000"/>
            </w:tcBorders>
            <w:shd w:color="auto" w:fill="auto" w:val="clear"/>
            <w:vAlign w:val="bottom"/>
          </w:tcPr>
          <w:p>
            <w:pPr>
              <w:pStyle w:val="Normal"/>
              <w:spacing w:lineRule="auto" w:line="240"/>
              <w:rPr/>
            </w:pPr>
            <w:r>
              <w:rPr/>
              <w:t>All</w:t>
            </w:r>
          </w:p>
        </w:tc>
        <w:tc>
          <w:tcPr>
            <w:tcW w:w="1725" w:type="dxa"/>
            <w:tcBorders>
              <w:top w:val="single" w:sz="4" w:space="0" w:color="000000"/>
            </w:tcBorders>
            <w:shd w:color="auto" w:fill="auto" w:val="clear"/>
            <w:vAlign w:val="center"/>
          </w:tcPr>
          <w:p>
            <w:pPr>
              <w:pStyle w:val="Normal"/>
              <w:spacing w:lineRule="auto" w:line="240"/>
              <w:jc w:val="center"/>
              <w:rPr/>
            </w:pPr>
            <w:r>
              <w:rPr/>
              <w:t>19.22</w:t>
            </w:r>
          </w:p>
        </w:tc>
        <w:tc>
          <w:tcPr>
            <w:tcW w:w="1725" w:type="dxa"/>
            <w:tcBorders>
              <w:top w:val="single" w:sz="4" w:space="0" w:color="000000"/>
            </w:tcBorders>
            <w:shd w:color="auto" w:fill="auto" w:val="clear"/>
            <w:vAlign w:val="center"/>
          </w:tcPr>
          <w:p>
            <w:pPr>
              <w:pStyle w:val="Normal"/>
              <w:spacing w:lineRule="auto" w:line="240"/>
              <w:jc w:val="center"/>
              <w:rPr/>
            </w:pPr>
            <w:r>
              <w:rPr/>
              <w:t>0.51</w:t>
            </w:r>
          </w:p>
        </w:tc>
        <w:tc>
          <w:tcPr>
            <w:tcW w:w="1725" w:type="dxa"/>
            <w:tcBorders>
              <w:top w:val="single" w:sz="4" w:space="0" w:color="000000"/>
            </w:tcBorders>
            <w:shd w:color="auto" w:fill="auto" w:val="clear"/>
            <w:vAlign w:val="center"/>
          </w:tcPr>
          <w:p>
            <w:pPr>
              <w:pStyle w:val="Normal"/>
              <w:spacing w:lineRule="auto" w:line="240"/>
              <w:jc w:val="center"/>
              <w:rPr/>
            </w:pPr>
            <w:r>
              <w:rPr/>
              <w:t>23.89</w:t>
            </w:r>
          </w:p>
        </w:tc>
        <w:tc>
          <w:tcPr>
            <w:tcW w:w="1739" w:type="dxa"/>
            <w:tcBorders>
              <w:top w:val="single" w:sz="4" w:space="0" w:color="000000"/>
            </w:tcBorders>
            <w:shd w:color="auto" w:fill="auto" w:val="clear"/>
            <w:vAlign w:val="center"/>
          </w:tcPr>
          <w:p>
            <w:pPr>
              <w:pStyle w:val="Normal"/>
              <w:spacing w:lineRule="auto" w:line="240"/>
              <w:jc w:val="center"/>
              <w:rPr/>
            </w:pPr>
            <w:r>
              <w:rPr/>
              <w:t>0.51</w:t>
            </w:r>
          </w:p>
        </w:tc>
      </w:tr>
      <w:tr>
        <w:trPr>
          <w:trHeight w:val="453" w:hRule="atLeast"/>
        </w:trPr>
        <w:tc>
          <w:tcPr>
            <w:tcW w:w="2260" w:type="dxa"/>
            <w:tcBorders/>
            <w:shd w:color="auto" w:fill="auto" w:val="clear"/>
            <w:vAlign w:val="bottom"/>
          </w:tcPr>
          <w:p>
            <w:pPr>
              <w:pStyle w:val="Normal"/>
              <w:spacing w:lineRule="auto" w:line="240"/>
              <w:rPr/>
            </w:pPr>
            <w:r>
              <w:rPr/>
              <w:t>Recognized</w:t>
            </w:r>
          </w:p>
        </w:tc>
        <w:tc>
          <w:tcPr>
            <w:tcW w:w="1725" w:type="dxa"/>
            <w:tcBorders/>
            <w:shd w:color="auto" w:fill="auto" w:val="clear"/>
            <w:vAlign w:val="center"/>
          </w:tcPr>
          <w:p>
            <w:pPr>
              <w:pStyle w:val="Normal"/>
              <w:spacing w:lineRule="auto" w:line="240"/>
              <w:jc w:val="center"/>
              <w:rPr/>
            </w:pPr>
            <w:r>
              <w:rPr/>
              <w:t>18.24</w:t>
            </w:r>
          </w:p>
        </w:tc>
        <w:tc>
          <w:tcPr>
            <w:tcW w:w="1725" w:type="dxa"/>
            <w:tcBorders/>
            <w:shd w:color="auto" w:fill="auto" w:val="clear"/>
            <w:vAlign w:val="center"/>
          </w:tcPr>
          <w:p>
            <w:pPr>
              <w:pStyle w:val="Normal"/>
              <w:spacing w:lineRule="auto" w:line="240"/>
              <w:jc w:val="center"/>
              <w:rPr/>
            </w:pPr>
            <w:r>
              <w:rPr/>
              <w:t>0.50</w:t>
            </w:r>
          </w:p>
        </w:tc>
        <w:tc>
          <w:tcPr>
            <w:tcW w:w="1725" w:type="dxa"/>
            <w:tcBorders/>
            <w:shd w:color="auto" w:fill="auto" w:val="clear"/>
            <w:vAlign w:val="center"/>
          </w:tcPr>
          <w:p>
            <w:pPr>
              <w:pStyle w:val="Normal"/>
              <w:spacing w:lineRule="auto" w:line="240"/>
              <w:jc w:val="center"/>
              <w:rPr/>
            </w:pPr>
            <w:r>
              <w:rPr/>
              <w:t>23.79</w:t>
            </w:r>
          </w:p>
        </w:tc>
        <w:tc>
          <w:tcPr>
            <w:tcW w:w="1739" w:type="dxa"/>
            <w:tcBorders/>
            <w:shd w:color="auto" w:fill="auto" w:val="clear"/>
            <w:vAlign w:val="center"/>
          </w:tcPr>
          <w:p>
            <w:pPr>
              <w:pStyle w:val="Normal"/>
              <w:spacing w:lineRule="auto" w:line="240"/>
              <w:jc w:val="center"/>
              <w:rPr/>
            </w:pPr>
            <w:r>
              <w:rPr/>
              <w:t>0.54</w:t>
            </w:r>
          </w:p>
        </w:tc>
      </w:tr>
      <w:tr>
        <w:trPr>
          <w:trHeight w:val="453" w:hRule="atLeast"/>
        </w:trPr>
        <w:tc>
          <w:tcPr>
            <w:tcW w:w="2260" w:type="dxa"/>
            <w:tcBorders>
              <w:bottom w:val="single" w:sz="4" w:space="0" w:color="000000"/>
            </w:tcBorders>
            <w:shd w:color="auto" w:fill="auto" w:val="clear"/>
            <w:vAlign w:val="bottom"/>
          </w:tcPr>
          <w:p>
            <w:pPr>
              <w:pStyle w:val="Normal"/>
              <w:spacing w:lineRule="auto" w:line="240"/>
              <w:rPr/>
            </w:pPr>
            <w:r>
              <w:rPr/>
              <w:t>Highly Recognized</w:t>
            </w:r>
          </w:p>
        </w:tc>
        <w:tc>
          <w:tcPr>
            <w:tcW w:w="1725" w:type="dxa"/>
            <w:tcBorders>
              <w:bottom w:val="single" w:sz="4" w:space="0" w:color="000000"/>
            </w:tcBorders>
            <w:shd w:color="auto" w:fill="auto" w:val="clear"/>
            <w:vAlign w:val="center"/>
          </w:tcPr>
          <w:p>
            <w:pPr>
              <w:pStyle w:val="Normal"/>
              <w:spacing w:lineRule="auto" w:line="240"/>
              <w:jc w:val="center"/>
              <w:rPr/>
            </w:pPr>
            <w:r>
              <w:rPr/>
              <w:t>18.03</w:t>
            </w:r>
          </w:p>
        </w:tc>
        <w:tc>
          <w:tcPr>
            <w:tcW w:w="1725" w:type="dxa"/>
            <w:tcBorders>
              <w:bottom w:val="single" w:sz="4" w:space="0" w:color="000000"/>
            </w:tcBorders>
            <w:shd w:color="auto" w:fill="auto" w:val="clear"/>
            <w:vAlign w:val="center"/>
          </w:tcPr>
          <w:p>
            <w:pPr>
              <w:pStyle w:val="Normal"/>
              <w:spacing w:lineRule="auto" w:line="240"/>
              <w:jc w:val="center"/>
              <w:rPr/>
            </w:pPr>
            <w:r>
              <w:rPr/>
              <w:t>0.50</w:t>
            </w:r>
          </w:p>
        </w:tc>
        <w:tc>
          <w:tcPr>
            <w:tcW w:w="1725" w:type="dxa"/>
            <w:tcBorders>
              <w:bottom w:val="single" w:sz="4" w:space="0" w:color="000000"/>
            </w:tcBorders>
            <w:shd w:color="auto" w:fill="auto" w:val="clear"/>
            <w:vAlign w:val="center"/>
          </w:tcPr>
          <w:p>
            <w:pPr>
              <w:pStyle w:val="Normal"/>
              <w:spacing w:lineRule="auto" w:line="240"/>
              <w:jc w:val="center"/>
              <w:rPr/>
            </w:pPr>
            <w:r>
              <w:rPr/>
              <w:t>19.81</w:t>
            </w:r>
          </w:p>
        </w:tc>
        <w:tc>
          <w:tcPr>
            <w:tcW w:w="1739" w:type="dxa"/>
            <w:tcBorders>
              <w:bottom w:val="single" w:sz="4" w:space="0" w:color="000000"/>
            </w:tcBorders>
            <w:shd w:color="auto" w:fill="auto" w:val="clear"/>
            <w:vAlign w:val="center"/>
          </w:tcPr>
          <w:p>
            <w:pPr>
              <w:pStyle w:val="Normal"/>
              <w:spacing w:lineRule="auto" w:line="240"/>
              <w:jc w:val="center"/>
              <w:rPr/>
            </w:pPr>
            <w:r>
              <w:rPr/>
              <w:t>0.56</w:t>
            </w:r>
          </w:p>
        </w:tc>
      </w:tr>
    </w:tbl>
    <w:p>
      <w:pPr>
        <w:pStyle w:val="Normal"/>
        <w:spacing w:lineRule="auto" w:line="240"/>
        <w:rPr/>
      </w:pPr>
      <w:r>
        <w:rPr>
          <w:i/>
        </w:rPr>
        <w:t xml:space="preserve">Note. </w:t>
      </w:r>
      <w:r>
        <w:rPr/>
        <w:tab/>
        <w:t xml:space="preserve">Precision refers to the precision of the information-driven retrieval process. </w:t>
      </w:r>
      <w:r>
        <w:rPr>
          <w:i/>
        </w:rPr>
        <w:t>π</w:t>
      </w:r>
      <w:r>
        <w:rPr/>
        <w:t xml:space="preserve"> represents proportion of responses driven by information. </w:t>
      </w:r>
    </w:p>
    <w:p>
      <w:pPr>
        <w:pStyle w:val="Normal"/>
        <w:spacing w:lineRule="auto" w:line="240"/>
        <w:rPr/>
      </w:pPr>
      <w:r>
        <w:rPr/>
      </w:r>
    </w:p>
    <w:p>
      <w:pPr>
        <w:pStyle w:val="Normal"/>
        <w:spacing w:lineRule="auto" w:line="240"/>
        <w:rPr/>
      </w:pPr>
      <w:r>
        <w:rPr/>
      </w:r>
    </w:p>
    <w:p>
      <w:pPr>
        <w:pStyle w:val="Normal"/>
        <w:spacing w:lineRule="auto" w:line="240"/>
        <w:rPr>
          <w:b/>
          <w:b/>
        </w:rPr>
      </w:pPr>
      <w:r>
        <w:rPr>
          <w:b/>
        </w:rPr>
      </w:r>
    </w:p>
    <w:p>
      <w:pPr>
        <w:pStyle w:val="Normal"/>
        <w:rPr>
          <w:b/>
          <w:b/>
        </w:rPr>
      </w:pPr>
      <w:r>
        <w:rPr>
          <w:b/>
        </w:rPr>
        <w:t>Circular Diffusion Models</w:t>
      </w:r>
    </w:p>
    <w:p>
      <w:pPr>
        <w:pStyle w:val="Normal"/>
        <w:ind w:firstLine="720"/>
        <w:rPr/>
      </w:pPr>
      <w:r>
        <w:rP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across-trial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across-trial variability in drift rates. We refer this model, by analogy with the van den Berg et al. (2014) model, with which it shares similar properties, as the </w:t>
      </w:r>
      <w:r>
        <w:rPr>
          <w:i/>
          <w:iCs/>
        </w:rPr>
        <w:t>variable-precision diffusion</w:t>
      </w:r>
      <w:r>
        <w:rP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i/>
        </w:rPr>
        <w:t>μ,</w:t>
      </w:r>
      <w:r>
        <w:rPr/>
        <w:t xml:space="preserve"> </w:t>
      </w:r>
      <w:ins w:id="239" w:author="Unknown Author" w:date="2020-04-15T11:09:49Z">
        <w:r>
          <w:rPr/>
          <w:t>II would bold mu as well, so indica</w:t>
        </w:r>
      </w:ins>
      <w:ins w:id="240" w:author="Unknown Author" w:date="2020-04-15T11:10:00Z">
        <w:r>
          <w:rPr/>
          <w:t xml:space="preserve">te it is a vector.] </w:t>
        </w:r>
      </w:ins>
      <w:r>
        <w:rPr/>
        <w:t xml:space="preserve">which followed a bivariate normal distribution with independent components (Smith, 2019), with standard deviation </w:t>
      </w:r>
      <w:r>
        <w:rPr>
          <w:b/>
          <w:bCs/>
          <w:i/>
        </w:rPr>
        <w:t xml:space="preserve">η </w:t>
      </w:r>
      <w:r>
        <w:rPr>
          <w:b/>
          <w:bCs/>
        </w:rPr>
        <w:t xml:space="preserve">= </w:t>
      </w:r>
      <w:r>
        <w:rP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rPr/>
        <w:t xml:space="preserve">When predictions for the model are generated in a canonical orientation, in which the drift rate vector points along the positive </w:t>
      </w:r>
      <w:r>
        <w:rPr>
          <w:i/>
          <w:iCs/>
        </w:rPr>
        <w:t>x</w:t>
      </w:r>
      <w:r>
        <w:rPr/>
        <w:t>-axis and a response at the point (</w:t>
      </w:r>
      <w:r>
        <w:rPr>
          <w:i/>
          <w:iCs/>
        </w:rPr>
        <w:t xml:space="preserve">a, </w:t>
      </w:r>
      <w:r>
        <w:rP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rP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rP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rPr/>
        <w:t xml:space="preserve">only and variability in </w:t>
      </w:r>
      <w:r>
        <w:rPr>
          <w:i/>
        </w:rPr>
        <w:t>η</w:t>
      </w:r>
      <w:r>
        <w:rPr>
          <w:i/>
          <w:vertAlign w:val="subscript"/>
        </w:rPr>
        <w:t>2</w:t>
      </w:r>
      <w:r>
        <w:rP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rPr/>
        <w:t xml:space="preserve">without the subscript. </w:t>
      </w:r>
    </w:p>
    <w:p>
      <w:pPr>
        <w:pStyle w:val="Normal"/>
        <w:ind w:firstLine="720"/>
        <w:rPr/>
      </w:pPr>
      <w:r>
        <w:rPr/>
        <w:t xml:space="preserve">The decision criterion was represented by </w:t>
      </w:r>
      <w:r>
        <w:rPr>
          <w:i/>
        </w:rPr>
        <w:t>a</w:t>
      </w:r>
      <w:r>
        <w:rP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pPr>
        <w:pStyle w:val="Normal"/>
        <w:ind w:firstLine="720"/>
        <w:rPr/>
      </w:pPr>
      <w:r>
        <w:rPr/>
        <w:t xml:space="preserve">Finally, there was a non-decision time parameter, </w:t>
      </w:r>
      <w:r>
        <w:rPr>
          <w:i/>
        </w:rPr>
        <w:t>T</w:t>
      </w:r>
      <w:r>
        <w:rPr/>
        <w:t>er</w:t>
        <w:softHyphen/>
        <w:t xml:space="preserve"> </w:t>
      </w:r>
      <w:r>
        <w:rPr>
          <w:iCs/>
        </w:rPr>
        <w:t xml:space="preserve">, and non-decision time variability </w:t>
      </w:r>
      <w:r>
        <w:rPr>
          <w:i/>
        </w:rPr>
        <w:t>s</w:t>
      </w:r>
      <w:r>
        <w:rPr>
          <w:i/>
          <w:vertAlign w:val="subscript"/>
        </w:rPr>
        <w:t>t</w:t>
      </w:r>
      <w:r>
        <w:rP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softHyphen/>
        <w:t xml:space="preserve"> </w:t>
      </w:r>
      <w:r>
        <w:rPr>
          <w:iCs/>
        </w:rPr>
        <w:t xml:space="preserve">to be negative in the model fits to allow for the premature onset of the retrieval process. </w:t>
      </w:r>
      <w:r>
        <w:rPr/>
        <w:t xml:space="preserve">        </w:t>
        <w:tab/>
      </w:r>
    </w:p>
    <w:p>
      <w:pPr>
        <w:pStyle w:val="Normal"/>
        <w:ind w:firstLine="720"/>
        <w:rPr/>
      </w:pPr>
      <w:r>
        <w:rPr/>
        <w:t>The second model embodied the thresholded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in press). Like other guessing models, the model predicts that responses will be uniformly distributed on the circle, but unlike such models, the zero-drift process predicts both accuracy and RT. Mixing proportions for the two processes were allowed to vary between the imageability conditions. This model had six free parameters. The mean drift rate parameter was shared with the variable-precision model (</w:t>
      </w:r>
      <w:r>
        <w:rPr>
          <w:i/>
        </w:rPr>
        <w:t>μ</w:t>
      </w:r>
      <w:r>
        <w:rPr/>
        <w:t xml:space="preserve">), with the same interpretation, as well as </w:t>
      </w:r>
      <w:ins w:id="241" w:author="Unknown Author" w:date="2020-04-15T11:17:51Z">
        <w:r>
          <w:rPr/>
          <w:t xml:space="preserve">the </w:t>
        </w:r>
      </w:ins>
      <w:r>
        <w:rPr>
          <w:i/>
        </w:rPr>
        <w:t>T</w:t>
      </w:r>
      <w:r>
        <w:rPr>
          <w:i/>
          <w:vertAlign w:val="subscript"/>
        </w:rPr>
        <w:t>er</w:t>
        <w:softHyphen/>
        <w:t xml:space="preserve">, </w:t>
      </w:r>
      <w:r>
        <w:rPr/>
        <w:t xml:space="preserve">the non-decision time parameter and </w:t>
      </w:r>
      <w:r>
        <w:rPr>
          <w:iCs/>
        </w:rPr>
        <w:t xml:space="preserve">non-decision time variability </w:t>
      </w:r>
      <w:r>
        <w:rPr>
          <w:i/>
        </w:rPr>
        <w:t>s</w:t>
      </w:r>
      <w:r>
        <w:rPr>
          <w:i/>
          <w:vertAlign w:val="subscript"/>
        </w:rPr>
        <w:t>t</w:t>
      </w:r>
      <w:r>
        <w:rPr/>
        <w:t xml:space="preserve">. The mixing proportion between information-driven and guessing processes was represented by </w:t>
      </w:r>
      <w:r>
        <w:rPr>
          <w:i/>
        </w:rPr>
        <w:t xml:space="preserve">π. </w:t>
      </w:r>
      <w:r>
        <w:rPr/>
        <w:t>The decision criterion was estimated separately for the information-driven component (</w:t>
      </w:r>
      <w:r>
        <w:rPr>
          <w:i/>
        </w:rPr>
        <w:t>a</w:t>
      </w:r>
      <w:r>
        <w:rPr>
          <w:i/>
          <w:vertAlign w:val="subscript"/>
        </w:rPr>
        <w:t>1</w:t>
      </w:r>
      <w:r>
        <w:rPr/>
        <w:t>) and the guessing component (</w:t>
      </w:r>
      <w:r>
        <w:rPr>
          <w:i/>
        </w:rPr>
        <w:t>a</w:t>
      </w:r>
      <w:r>
        <w:rPr>
          <w:i/>
          <w:vertAlign w:val="subscript"/>
        </w:rPr>
        <w:t>2</w:t>
      </w:r>
      <w:r>
        <w:rPr/>
        <w:t xml:space="preserve">). </w:t>
      </w:r>
    </w:p>
    <w:p>
      <w:pPr>
        <w:pStyle w:val="Normal"/>
        <w:rPr/>
      </w:pPr>
      <w:r>
        <w:rPr/>
        <w:t xml:space="preserve">        </w:t>
      </w:r>
      <w:r>
        <w:rPr/>
        <w:tab/>
        <w:t>The third model was a combination of the variable-precision and threshold diffusion models. It assumed a mixture of zero-drift and nonzero-drift processes, like the threshold diffusion model, but also allowed for across-trial variability in drift rates, similar to the some-or-none model of Onyper,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rPr/>
        <w:t xml:space="preserve">model had seven free parameters, </w:t>
      </w:r>
      <w:del w:id="242" w:author="Unknown Author" w:date="2020-04-15T11:18:37Z">
        <w:r>
          <w:rPr/>
          <w:delText>all of</w:delText>
        </w:r>
      </w:del>
      <w:r>
        <w:rPr/>
        <w:t xml:space="preserve"> which are shown in Table 7. </w:t>
      </w:r>
    </w:p>
    <w:tbl>
      <w:tblPr>
        <w:tblW w:w="10270" w:type="dxa"/>
        <w:jc w:val="left"/>
        <w:tblInd w:w="-640" w:type="dxa"/>
        <w:tblCellMar>
          <w:top w:w="0" w:type="dxa"/>
          <w:left w:w="108" w:type="dxa"/>
          <w:bottom w:w="0" w:type="dxa"/>
          <w:right w:w="108" w:type="dxa"/>
        </w:tblCellMar>
        <w:tblLook w:val="04a0" w:noVBand="1" w:noHBand="0" w:lastColumn="0" w:firstColumn="1" w:lastRow="0" w:firstRow="1"/>
      </w:tblPr>
      <w:tblGrid>
        <w:gridCol w:w="2145"/>
        <w:gridCol w:w="4158"/>
        <w:gridCol w:w="2"/>
        <w:gridCol w:w="1349"/>
        <w:gridCol w:w="2"/>
        <w:gridCol w:w="1343"/>
        <w:gridCol w:w="2"/>
        <w:gridCol w:w="1269"/>
      </w:tblGrid>
      <w:tr>
        <w:trPr>
          <w:trHeight w:val="604" w:hRule="atLeast"/>
        </w:trPr>
        <w:tc>
          <w:tcPr>
            <w:tcW w:w="6305" w:type="dxa"/>
            <w:gridSpan w:val="3"/>
            <w:tcBorders>
              <w:bottom w:val="single" w:sz="8" w:space="0" w:color="000000"/>
            </w:tcBorders>
            <w:shd w:color="auto" w:fill="auto" w:val="clear"/>
            <w:vAlign w:val="bottom"/>
          </w:tcPr>
          <w:p>
            <w:pPr>
              <w:pStyle w:val="Normal"/>
              <w:spacing w:lineRule="auto" w:line="276"/>
              <w:rPr/>
            </w:pPr>
            <w:r>
              <w:rPr/>
              <w:t>Table 7</w:t>
            </w:r>
          </w:p>
          <w:p>
            <w:pPr>
              <w:pStyle w:val="Normal"/>
              <w:spacing w:lineRule="auto" w:line="276"/>
              <w:rPr/>
            </w:pPr>
            <w:r>
              <w:rPr/>
              <w:t>Symbols and definitions of free parameters estimated in diffusion model variants</w:t>
            </w:r>
          </w:p>
        </w:tc>
        <w:tc>
          <w:tcPr>
            <w:tcW w:w="1351" w:type="dxa"/>
            <w:gridSpan w:val="2"/>
            <w:tcBorders>
              <w:bottom w:val="single" w:sz="8" w:space="0" w:color="000000"/>
            </w:tcBorders>
            <w:shd w:color="auto" w:fill="auto" w:val="clear"/>
          </w:tcPr>
          <w:p>
            <w:pPr>
              <w:pStyle w:val="Normal"/>
              <w:spacing w:lineRule="auto" w:line="276"/>
              <w:rPr/>
            </w:pPr>
            <w:r>
              <w:rPr/>
            </w:r>
          </w:p>
        </w:tc>
        <w:tc>
          <w:tcPr>
            <w:tcW w:w="1345" w:type="dxa"/>
            <w:gridSpan w:val="2"/>
            <w:tcBorders>
              <w:bottom w:val="single" w:sz="8" w:space="0" w:color="000000"/>
            </w:tcBorders>
            <w:shd w:color="auto" w:fill="auto" w:val="clear"/>
          </w:tcPr>
          <w:p>
            <w:pPr>
              <w:pStyle w:val="Normal"/>
              <w:spacing w:lineRule="auto" w:line="276"/>
              <w:rPr/>
            </w:pPr>
            <w:r>
              <w:rPr/>
            </w:r>
          </w:p>
        </w:tc>
        <w:tc>
          <w:tcPr>
            <w:tcW w:w="1269" w:type="dxa"/>
            <w:tcBorders>
              <w:bottom w:val="single" w:sz="8" w:space="0" w:color="000000"/>
            </w:tcBorders>
            <w:shd w:color="auto" w:fill="auto" w:val="clear"/>
          </w:tcPr>
          <w:p>
            <w:pPr>
              <w:pStyle w:val="Normal"/>
              <w:spacing w:lineRule="auto" w:line="276"/>
              <w:rPr/>
            </w:pPr>
            <w:r>
              <w:rPr/>
            </w:r>
          </w:p>
        </w:tc>
      </w:tr>
      <w:tr>
        <w:trPr>
          <w:trHeight w:val="302" w:hRule="atLeast"/>
        </w:trPr>
        <w:tc>
          <w:tcPr>
            <w:tcW w:w="2145"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Symbol</w:t>
            </w:r>
          </w:p>
        </w:tc>
        <w:tc>
          <w:tcPr>
            <w:tcW w:w="4158"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Parameter</w:t>
            </w:r>
          </w:p>
        </w:tc>
        <w:tc>
          <w:tcPr>
            <w:tcW w:w="3967" w:type="dxa"/>
            <w:gridSpan w:val="6"/>
            <w:tcBorders>
              <w:top w:val="single" w:sz="8" w:space="0" w:color="000000"/>
              <w:bottom w:val="single" w:sz="4" w:space="0" w:color="000000"/>
            </w:tcBorders>
            <w:shd w:color="auto" w:fill="auto" w:val="clear"/>
          </w:tcPr>
          <w:p>
            <w:pPr>
              <w:pStyle w:val="Normal"/>
              <w:spacing w:lineRule="auto" w:line="276"/>
              <w:jc w:val="center"/>
              <w:rPr/>
            </w:pPr>
            <w:r>
              <w:rPr/>
              <w:t>Inclusion in Model</w:t>
            </w:r>
          </w:p>
        </w:tc>
      </w:tr>
      <w:tr>
        <w:trPr>
          <w:trHeight w:val="302" w:hRule="atLeast"/>
        </w:trPr>
        <w:tc>
          <w:tcPr>
            <w:tcW w:w="2145" w:type="dxa"/>
            <w:vMerge w:val="continue"/>
            <w:tcBorders>
              <w:top w:val="single" w:sz="8" w:space="0" w:color="000000"/>
              <w:bottom w:val="single" w:sz="8" w:space="0" w:color="000000"/>
            </w:tcBorders>
            <w:shd w:color="auto" w:fill="auto" w:val="clear"/>
            <w:vAlign w:val="bottom"/>
          </w:tcPr>
          <w:p>
            <w:pPr>
              <w:pStyle w:val="Normal"/>
              <w:rPr/>
            </w:pPr>
            <w:r>
              <w:rPr/>
            </w:r>
          </w:p>
        </w:tc>
        <w:tc>
          <w:tcPr>
            <w:tcW w:w="4158" w:type="dxa"/>
            <w:vMerge w:val="continue"/>
            <w:tcBorders>
              <w:top w:val="single" w:sz="8" w:space="0" w:color="000000"/>
              <w:bottom w:val="single" w:sz="8" w:space="0" w:color="000000"/>
            </w:tcBorders>
            <w:shd w:color="auto" w:fill="auto" w:val="clear"/>
            <w:vAlign w:val="bottom"/>
          </w:tcPr>
          <w:p>
            <w:pPr>
              <w:pStyle w:val="Normal"/>
              <w:rPr/>
            </w:pPr>
            <w:r>
              <w:rPr/>
            </w:r>
          </w:p>
        </w:tc>
        <w:tc>
          <w:tcPr>
            <w:tcW w:w="1351" w:type="dxa"/>
            <w:gridSpan w:val="2"/>
            <w:tcBorders>
              <w:top w:val="single" w:sz="8" w:space="0" w:color="000000"/>
              <w:bottom w:val="single" w:sz="8" w:space="0" w:color="000000"/>
            </w:tcBorders>
            <w:shd w:color="auto" w:fill="auto" w:val="clear"/>
          </w:tcPr>
          <w:p>
            <w:pPr>
              <w:pStyle w:val="Normal"/>
              <w:spacing w:lineRule="auto" w:line="276"/>
              <w:jc w:val="center"/>
              <w:rPr/>
            </w:pPr>
            <w:r>
              <w:rPr/>
              <w:t>Variable-Precision</w:t>
            </w:r>
          </w:p>
        </w:tc>
        <w:tc>
          <w:tcPr>
            <w:tcW w:w="1345" w:type="dxa"/>
            <w:gridSpan w:val="2"/>
            <w:tcBorders>
              <w:top w:val="single" w:sz="8" w:space="0" w:color="000000"/>
              <w:bottom w:val="single" w:sz="8" w:space="0" w:color="000000"/>
            </w:tcBorders>
            <w:shd w:color="auto" w:fill="auto" w:val="clear"/>
          </w:tcPr>
          <w:p>
            <w:pPr>
              <w:pStyle w:val="Normal"/>
              <w:spacing w:lineRule="auto" w:line="276"/>
              <w:jc w:val="center"/>
              <w:rPr/>
            </w:pPr>
            <w:r>
              <w:rPr/>
              <w:t>Threshold</w:t>
            </w:r>
          </w:p>
        </w:tc>
        <w:tc>
          <w:tcPr>
            <w:tcW w:w="1271" w:type="dxa"/>
            <w:gridSpan w:val="2"/>
            <w:tcBorders>
              <w:top w:val="single" w:sz="8" w:space="0" w:color="000000"/>
              <w:bottom w:val="single" w:sz="8" w:space="0" w:color="000000"/>
            </w:tcBorders>
            <w:shd w:color="auto" w:fill="auto" w:val="clear"/>
          </w:tcPr>
          <w:p>
            <w:pPr>
              <w:pStyle w:val="Normal"/>
              <w:spacing w:lineRule="auto" w:line="276"/>
              <w:jc w:val="center"/>
              <w:rPr/>
            </w:pPr>
            <w:r>
              <w:rPr/>
              <w:t>Hybrid</w:t>
            </w:r>
          </w:p>
        </w:tc>
      </w:tr>
      <w:tr>
        <w:trPr>
          <w:trHeight w:val="290" w:hRule="atLeast"/>
        </w:trPr>
        <w:tc>
          <w:tcPr>
            <w:tcW w:w="2145" w:type="dxa"/>
            <w:tcBorders>
              <w:top w:val="single" w:sz="8" w:space="0" w:color="000000"/>
            </w:tcBorders>
            <w:shd w:color="auto" w:fill="auto" w:val="clear"/>
            <w:vAlign w:val="bottom"/>
          </w:tcPr>
          <w:p>
            <w:pPr>
              <w:pStyle w:val="Normal"/>
              <w:spacing w:lineRule="auto" w:line="276"/>
              <w:jc w:val="center"/>
              <w:rPr>
                <w:i/>
                <w:i/>
              </w:rPr>
            </w:pPr>
            <w:r>
              <w:rPr>
                <w:i/>
              </w:rPr>
              <w:t>μ</w:t>
            </w:r>
          </w:p>
        </w:tc>
        <w:tc>
          <w:tcPr>
            <w:tcW w:w="4158" w:type="dxa"/>
            <w:tcBorders>
              <w:top w:val="single" w:sz="8" w:space="0" w:color="000000"/>
            </w:tcBorders>
            <w:shd w:color="auto" w:fill="auto" w:val="clear"/>
            <w:vAlign w:val="bottom"/>
          </w:tcPr>
          <w:p>
            <w:pPr>
              <w:pStyle w:val="Normal"/>
              <w:spacing w:lineRule="auto" w:line="276"/>
              <w:rPr/>
            </w:pPr>
            <w:r>
              <w:rPr/>
              <w:t>Mean drift</w:t>
            </w:r>
          </w:p>
        </w:tc>
        <w:tc>
          <w:tcPr>
            <w:tcW w:w="1351" w:type="dxa"/>
            <w:gridSpan w:val="2"/>
            <w:tcBorders>
              <w:top w:val="single" w:sz="8" w:space="0" w:color="000000"/>
            </w:tcBorders>
            <w:shd w:color="auto" w:fill="auto" w:val="clear"/>
          </w:tcPr>
          <w:p>
            <w:pPr>
              <w:pStyle w:val="Normal"/>
              <w:spacing w:lineRule="auto" w:line="276"/>
              <w:jc w:val="center"/>
              <w:rPr/>
            </w:pPr>
            <w:r>
              <w:rPr/>
              <w:t>Y</w:t>
            </w:r>
          </w:p>
        </w:tc>
        <w:tc>
          <w:tcPr>
            <w:tcW w:w="1345" w:type="dxa"/>
            <w:gridSpan w:val="2"/>
            <w:tcBorders>
              <w:top w:val="single" w:sz="8" w:space="0" w:color="000000"/>
            </w:tcBorders>
            <w:shd w:color="auto" w:fill="auto" w:val="clear"/>
          </w:tcPr>
          <w:p>
            <w:pPr>
              <w:pStyle w:val="Normal"/>
              <w:spacing w:lineRule="auto" w:line="276"/>
              <w:jc w:val="center"/>
              <w:rPr/>
            </w:pPr>
            <w:r>
              <w:rPr/>
              <w:t>Y</w:t>
            </w:r>
          </w:p>
        </w:tc>
        <w:tc>
          <w:tcPr>
            <w:tcW w:w="1271" w:type="dxa"/>
            <w:gridSpan w:val="2"/>
            <w:tcBorders>
              <w:top w:val="single" w:sz="8" w:space="0" w:color="000000"/>
            </w:tcBorders>
            <w:shd w:color="auto" w:fill="auto" w:val="clear"/>
          </w:tcPr>
          <w:p>
            <w:pPr>
              <w:pStyle w:val="Normal"/>
              <w:spacing w:lineRule="auto" w:line="276"/>
              <w:jc w:val="center"/>
              <w:rPr/>
            </w:pPr>
            <w:r>
              <w:rPr/>
              <w:t>Y</w:t>
            </w:r>
          </w:p>
        </w:tc>
      </w:tr>
      <w:tr>
        <w:trPr>
          <w:trHeight w:val="290" w:hRule="atLeast"/>
        </w:trPr>
        <w:tc>
          <w:tcPr>
            <w:tcW w:w="2145" w:type="dxa"/>
            <w:tcBorders/>
            <w:shd w:color="auto" w:fill="auto" w:val="clear"/>
            <w:vAlign w:val="bottom"/>
          </w:tcPr>
          <w:p>
            <w:pPr>
              <w:pStyle w:val="Normal"/>
              <w:spacing w:lineRule="auto" w:line="276"/>
              <w:jc w:val="center"/>
              <w:rPr/>
            </w:pPr>
            <w:r>
              <w:rPr>
                <w:i/>
              </w:rPr>
              <w:t>η</w:t>
            </w:r>
          </w:p>
        </w:tc>
        <w:tc>
          <w:tcPr>
            <w:tcW w:w="4158" w:type="dxa"/>
            <w:tcBorders/>
            <w:shd w:color="auto" w:fill="auto" w:val="clear"/>
            <w:vAlign w:val="bottom"/>
          </w:tcPr>
          <w:p>
            <w:pPr>
              <w:pStyle w:val="Normal"/>
              <w:spacing w:lineRule="auto" w:line="276"/>
              <w:rPr/>
            </w:pPr>
            <w:r>
              <w:rPr/>
              <w:t>Drift variability</w:t>
            </w:r>
          </w:p>
        </w:tc>
        <w:tc>
          <w:tcPr>
            <w:tcW w:w="1351" w:type="dxa"/>
            <w:gridSpan w:val="2"/>
            <w:tcBorders/>
            <w:shd w:color="auto" w:fill="auto" w:val="clear"/>
          </w:tcPr>
          <w:p>
            <w:pPr>
              <w:pStyle w:val="Normal"/>
              <w:spacing w:lineRule="auto" w:line="276"/>
              <w:jc w:val="center"/>
              <w:rPr/>
            </w:pPr>
            <w:r>
              <w:rPr/>
              <w:t>Y</w:t>
            </w:r>
          </w:p>
        </w:tc>
        <w:tc>
          <w:tcPr>
            <w:tcW w:w="1345" w:type="dxa"/>
            <w:gridSpan w:val="2"/>
            <w:tcBorders/>
            <w:shd w:color="auto" w:fill="auto" w:val="clear"/>
          </w:tcPr>
          <w:p>
            <w:pPr>
              <w:pStyle w:val="Normal"/>
              <w:spacing w:lineRule="auto" w:line="276"/>
              <w:jc w:val="center"/>
              <w:rPr/>
            </w:pPr>
            <w:r>
              <w:rPr/>
              <w:t>N</w:t>
            </w:r>
          </w:p>
        </w:tc>
        <w:tc>
          <w:tcPr>
            <w:tcW w:w="1271" w:type="dxa"/>
            <w:gridSpan w:val="2"/>
            <w:tcBorders/>
            <w:shd w:color="auto" w:fill="auto" w:val="clear"/>
          </w:tcPr>
          <w:p>
            <w:pPr>
              <w:pStyle w:val="Normal"/>
              <w:spacing w:lineRule="auto" w:line="276"/>
              <w:jc w:val="center"/>
              <w:rPr/>
            </w:pPr>
            <w:r>
              <w:rPr/>
              <w:t>Y</w:t>
            </w:r>
          </w:p>
        </w:tc>
      </w:tr>
      <w:tr>
        <w:trPr>
          <w:trHeight w:val="290" w:hRule="atLeast"/>
        </w:trPr>
        <w:tc>
          <w:tcPr>
            <w:tcW w:w="2145" w:type="dxa"/>
            <w:tcBorders/>
            <w:shd w:color="auto" w:fill="auto" w:val="clear"/>
            <w:vAlign w:val="bottom"/>
          </w:tcPr>
          <w:p>
            <w:pPr>
              <w:pStyle w:val="Normal"/>
              <w:spacing w:lineRule="auto" w:line="276"/>
              <w:jc w:val="center"/>
              <w:rPr/>
            </w:pPr>
            <w:r>
              <w:rPr>
                <w:i/>
              </w:rPr>
              <w:t>a</w:t>
            </w:r>
            <w:r>
              <w:rPr>
                <w:i/>
                <w:vertAlign w:val="subscript"/>
              </w:rPr>
              <w:t>1</w:t>
            </w:r>
          </w:p>
        </w:tc>
        <w:tc>
          <w:tcPr>
            <w:tcW w:w="4158" w:type="dxa"/>
            <w:tcBorders/>
            <w:shd w:color="auto" w:fill="auto" w:val="clear"/>
            <w:vAlign w:val="bottom"/>
          </w:tcPr>
          <w:p>
            <w:pPr>
              <w:pStyle w:val="Normal"/>
              <w:spacing w:lineRule="auto" w:line="276"/>
              <w:rPr/>
            </w:pPr>
            <w:r>
              <w:rPr/>
              <w:t>Decision criteria, information-driven component</w:t>
            </w:r>
          </w:p>
        </w:tc>
        <w:tc>
          <w:tcPr>
            <w:tcW w:w="1351" w:type="dxa"/>
            <w:gridSpan w:val="2"/>
            <w:tcBorders/>
            <w:shd w:color="auto" w:fill="auto" w:val="clear"/>
          </w:tcPr>
          <w:p>
            <w:pPr>
              <w:pStyle w:val="Normal"/>
              <w:spacing w:lineRule="auto" w:line="276"/>
              <w:jc w:val="center"/>
              <w:rPr/>
            </w:pPr>
            <w:r>
              <w:rPr/>
              <w:t>Y</w:t>
            </w:r>
          </w:p>
        </w:tc>
        <w:tc>
          <w:tcPr>
            <w:tcW w:w="1345" w:type="dxa"/>
            <w:gridSpan w:val="2"/>
            <w:tcBorders/>
            <w:shd w:color="auto" w:fill="auto" w:val="clear"/>
          </w:tcPr>
          <w:p>
            <w:pPr>
              <w:pStyle w:val="Normal"/>
              <w:spacing w:lineRule="auto" w:line="276"/>
              <w:jc w:val="center"/>
              <w:rPr/>
            </w:pPr>
            <w:r>
              <w:rPr/>
              <w:t>Y</w:t>
            </w:r>
          </w:p>
        </w:tc>
        <w:tc>
          <w:tcPr>
            <w:tcW w:w="1271" w:type="dxa"/>
            <w:gridSpan w:val="2"/>
            <w:tcBorders/>
            <w:shd w:color="auto" w:fill="auto" w:val="clear"/>
          </w:tcPr>
          <w:p>
            <w:pPr>
              <w:pStyle w:val="Normal"/>
              <w:spacing w:lineRule="auto" w:line="276"/>
              <w:jc w:val="center"/>
              <w:rPr/>
            </w:pPr>
            <w:r>
              <w:rPr/>
              <w:t>Y</w:t>
            </w:r>
          </w:p>
        </w:tc>
      </w:tr>
      <w:tr>
        <w:trPr>
          <w:trHeight w:val="290" w:hRule="atLeast"/>
        </w:trPr>
        <w:tc>
          <w:tcPr>
            <w:tcW w:w="2145" w:type="dxa"/>
            <w:tcBorders/>
            <w:shd w:color="auto" w:fill="auto" w:val="clear"/>
            <w:vAlign w:val="bottom"/>
          </w:tcPr>
          <w:p>
            <w:pPr>
              <w:pStyle w:val="Normal"/>
              <w:spacing w:lineRule="auto" w:line="276"/>
              <w:jc w:val="center"/>
              <w:rPr/>
            </w:pPr>
            <w:r>
              <w:rPr>
                <w:i/>
              </w:rPr>
              <w:t>a</w:t>
            </w:r>
            <w:r>
              <w:rPr>
                <w:i/>
                <w:vertAlign w:val="subscript"/>
              </w:rPr>
              <w:t>2</w:t>
            </w:r>
          </w:p>
        </w:tc>
        <w:tc>
          <w:tcPr>
            <w:tcW w:w="4158" w:type="dxa"/>
            <w:tcBorders/>
            <w:shd w:color="auto" w:fill="auto" w:val="clear"/>
            <w:vAlign w:val="bottom"/>
          </w:tcPr>
          <w:p>
            <w:pPr>
              <w:pStyle w:val="Normal"/>
              <w:spacing w:lineRule="auto" w:line="276"/>
              <w:rPr/>
            </w:pPr>
            <w:r>
              <w:rPr/>
              <w:t>Decision criteria, guessing component</w:t>
            </w:r>
          </w:p>
        </w:tc>
        <w:tc>
          <w:tcPr>
            <w:tcW w:w="1351" w:type="dxa"/>
            <w:gridSpan w:val="2"/>
            <w:tcBorders/>
            <w:shd w:color="auto" w:fill="auto" w:val="clear"/>
          </w:tcPr>
          <w:p>
            <w:pPr>
              <w:pStyle w:val="Normal"/>
              <w:spacing w:lineRule="auto" w:line="276"/>
              <w:jc w:val="center"/>
              <w:rPr/>
            </w:pPr>
            <w:r>
              <w:rPr/>
              <w:t>N</w:t>
            </w:r>
          </w:p>
        </w:tc>
        <w:tc>
          <w:tcPr>
            <w:tcW w:w="1345" w:type="dxa"/>
            <w:gridSpan w:val="2"/>
            <w:tcBorders/>
            <w:shd w:color="auto" w:fill="auto" w:val="clear"/>
          </w:tcPr>
          <w:p>
            <w:pPr>
              <w:pStyle w:val="Normal"/>
              <w:spacing w:lineRule="auto" w:line="276"/>
              <w:jc w:val="center"/>
              <w:rPr/>
            </w:pPr>
            <w:r>
              <w:rPr/>
              <w:t>Y</w:t>
            </w:r>
          </w:p>
        </w:tc>
        <w:tc>
          <w:tcPr>
            <w:tcW w:w="1271" w:type="dxa"/>
            <w:gridSpan w:val="2"/>
            <w:tcBorders/>
            <w:shd w:color="auto" w:fill="auto" w:val="clear"/>
          </w:tcPr>
          <w:p>
            <w:pPr>
              <w:pStyle w:val="Normal"/>
              <w:spacing w:lineRule="auto" w:line="276"/>
              <w:jc w:val="center"/>
              <w:rPr/>
            </w:pPr>
            <w:r>
              <w:rPr/>
              <w:t>Y</w:t>
            </w:r>
          </w:p>
        </w:tc>
      </w:tr>
      <w:tr>
        <w:trPr>
          <w:trHeight w:val="290" w:hRule="atLeast"/>
        </w:trPr>
        <w:tc>
          <w:tcPr>
            <w:tcW w:w="2145" w:type="dxa"/>
            <w:tcBorders/>
            <w:shd w:color="auto" w:fill="auto" w:val="clear"/>
            <w:vAlign w:val="bottom"/>
          </w:tcPr>
          <w:p>
            <w:pPr>
              <w:pStyle w:val="Normal"/>
              <w:spacing w:lineRule="auto" w:line="276"/>
              <w:jc w:val="center"/>
              <w:rPr>
                <w:i/>
                <w:i/>
              </w:rPr>
            </w:pPr>
            <w:r>
              <w:rPr>
                <w:i/>
              </w:rPr>
              <w:t>π</w:t>
            </w:r>
          </w:p>
        </w:tc>
        <w:tc>
          <w:tcPr>
            <w:tcW w:w="4158" w:type="dxa"/>
            <w:tcBorders/>
            <w:shd w:color="auto" w:fill="auto" w:val="clear"/>
            <w:vAlign w:val="bottom"/>
          </w:tcPr>
          <w:p>
            <w:pPr>
              <w:pStyle w:val="Normal"/>
              <w:spacing w:lineRule="auto" w:line="276"/>
              <w:rPr/>
            </w:pPr>
            <w:r>
              <w:rPr/>
              <w:t>Mixing proportion</w:t>
            </w:r>
          </w:p>
        </w:tc>
        <w:tc>
          <w:tcPr>
            <w:tcW w:w="1351" w:type="dxa"/>
            <w:gridSpan w:val="2"/>
            <w:tcBorders/>
            <w:shd w:color="auto" w:fill="auto" w:val="clear"/>
          </w:tcPr>
          <w:p>
            <w:pPr>
              <w:pStyle w:val="Normal"/>
              <w:spacing w:lineRule="auto" w:line="276"/>
              <w:jc w:val="center"/>
              <w:rPr/>
            </w:pPr>
            <w:r>
              <w:rPr/>
              <w:t>N</w:t>
            </w:r>
          </w:p>
        </w:tc>
        <w:tc>
          <w:tcPr>
            <w:tcW w:w="1345" w:type="dxa"/>
            <w:gridSpan w:val="2"/>
            <w:tcBorders/>
            <w:shd w:color="auto" w:fill="auto" w:val="clear"/>
          </w:tcPr>
          <w:p>
            <w:pPr>
              <w:pStyle w:val="Normal"/>
              <w:spacing w:lineRule="auto" w:line="276"/>
              <w:jc w:val="center"/>
              <w:rPr/>
            </w:pPr>
            <w:r>
              <w:rPr/>
              <w:t>Y</w:t>
            </w:r>
          </w:p>
        </w:tc>
        <w:tc>
          <w:tcPr>
            <w:tcW w:w="1271" w:type="dxa"/>
            <w:gridSpan w:val="2"/>
            <w:tcBorders/>
            <w:shd w:color="auto" w:fill="auto" w:val="clear"/>
          </w:tcPr>
          <w:p>
            <w:pPr>
              <w:pStyle w:val="Normal"/>
              <w:spacing w:lineRule="auto" w:line="276"/>
              <w:jc w:val="center"/>
              <w:rPr/>
            </w:pPr>
            <w:r>
              <w:rPr/>
              <w:t>Y</w:t>
            </w:r>
          </w:p>
        </w:tc>
      </w:tr>
      <w:tr>
        <w:trPr>
          <w:trHeight w:val="290" w:hRule="atLeast"/>
        </w:trPr>
        <w:tc>
          <w:tcPr>
            <w:tcW w:w="2145" w:type="dxa"/>
            <w:tcBorders/>
            <w:shd w:color="auto" w:fill="auto" w:val="clear"/>
            <w:vAlign w:val="bottom"/>
          </w:tcPr>
          <w:p>
            <w:pPr>
              <w:pStyle w:val="Normal"/>
              <w:spacing w:lineRule="auto" w:line="276"/>
              <w:jc w:val="center"/>
              <w:rPr/>
            </w:pPr>
            <w:r>
              <w:rPr>
                <w:i/>
              </w:rPr>
              <w:t>T</w:t>
            </w:r>
            <w:r>
              <w:rPr>
                <w:i/>
                <w:vertAlign w:val="subscript"/>
              </w:rPr>
              <w:t>er</w:t>
            </w:r>
          </w:p>
        </w:tc>
        <w:tc>
          <w:tcPr>
            <w:tcW w:w="4158" w:type="dxa"/>
            <w:tcBorders/>
            <w:shd w:color="auto" w:fill="auto" w:val="clear"/>
            <w:vAlign w:val="bottom"/>
          </w:tcPr>
          <w:p>
            <w:pPr>
              <w:pStyle w:val="Normal"/>
              <w:spacing w:lineRule="auto" w:line="276"/>
              <w:rPr/>
            </w:pPr>
            <w:r>
              <w:rPr/>
              <w:t>Non-decision time</w:t>
            </w:r>
          </w:p>
        </w:tc>
        <w:tc>
          <w:tcPr>
            <w:tcW w:w="1351" w:type="dxa"/>
            <w:gridSpan w:val="2"/>
            <w:tcBorders/>
            <w:shd w:color="auto" w:fill="auto" w:val="clear"/>
          </w:tcPr>
          <w:p>
            <w:pPr>
              <w:pStyle w:val="Normal"/>
              <w:spacing w:lineRule="auto" w:line="276"/>
              <w:jc w:val="center"/>
              <w:rPr/>
            </w:pPr>
            <w:r>
              <w:rPr/>
              <w:t>Y</w:t>
            </w:r>
          </w:p>
        </w:tc>
        <w:tc>
          <w:tcPr>
            <w:tcW w:w="1345" w:type="dxa"/>
            <w:gridSpan w:val="2"/>
            <w:tcBorders/>
            <w:shd w:color="auto" w:fill="auto" w:val="clear"/>
          </w:tcPr>
          <w:p>
            <w:pPr>
              <w:pStyle w:val="Normal"/>
              <w:spacing w:lineRule="auto" w:line="276"/>
              <w:jc w:val="center"/>
              <w:rPr/>
            </w:pPr>
            <w:r>
              <w:rPr/>
              <w:t>Y</w:t>
            </w:r>
          </w:p>
        </w:tc>
        <w:tc>
          <w:tcPr>
            <w:tcW w:w="1271" w:type="dxa"/>
            <w:gridSpan w:val="2"/>
            <w:tcBorders/>
            <w:shd w:color="auto" w:fill="auto" w:val="clear"/>
          </w:tcPr>
          <w:p>
            <w:pPr>
              <w:pStyle w:val="Normal"/>
              <w:spacing w:lineRule="auto" w:line="276"/>
              <w:jc w:val="center"/>
              <w:rPr/>
            </w:pPr>
            <w:r>
              <w:rPr/>
              <w:t>Y</w:t>
            </w:r>
          </w:p>
        </w:tc>
      </w:tr>
      <w:tr>
        <w:trPr>
          <w:trHeight w:val="314" w:hRule="atLeast"/>
        </w:trPr>
        <w:tc>
          <w:tcPr>
            <w:tcW w:w="2145" w:type="dxa"/>
            <w:tcBorders>
              <w:bottom w:val="single" w:sz="8" w:space="0" w:color="000000"/>
            </w:tcBorders>
            <w:shd w:color="auto" w:fill="auto" w:val="clear"/>
            <w:vAlign w:val="bottom"/>
          </w:tcPr>
          <w:p>
            <w:pPr>
              <w:pStyle w:val="Normal"/>
              <w:spacing w:lineRule="auto" w:line="276"/>
              <w:jc w:val="center"/>
              <w:rPr/>
            </w:pPr>
            <w:r>
              <w:rPr>
                <w:i/>
              </w:rPr>
              <w:t>s</w:t>
            </w:r>
            <w:r>
              <w:rPr>
                <w:i/>
                <w:vertAlign w:val="subscript"/>
              </w:rPr>
              <w:t>t</w:t>
            </w:r>
          </w:p>
        </w:tc>
        <w:tc>
          <w:tcPr>
            <w:tcW w:w="4158" w:type="dxa"/>
            <w:tcBorders>
              <w:bottom w:val="single" w:sz="8" w:space="0" w:color="000000"/>
            </w:tcBorders>
            <w:shd w:color="auto" w:fill="auto" w:val="clear"/>
            <w:vAlign w:val="bottom"/>
          </w:tcPr>
          <w:p>
            <w:pPr>
              <w:pStyle w:val="Normal"/>
              <w:spacing w:lineRule="auto" w:line="276"/>
              <w:rPr/>
            </w:pPr>
            <w:r>
              <w:rPr/>
              <w:t>Non-decision time variability</w:t>
            </w:r>
          </w:p>
        </w:tc>
        <w:tc>
          <w:tcPr>
            <w:tcW w:w="1351" w:type="dxa"/>
            <w:gridSpan w:val="2"/>
            <w:tcBorders>
              <w:bottom w:val="single" w:sz="8" w:space="0" w:color="000000"/>
            </w:tcBorders>
            <w:shd w:color="auto" w:fill="auto" w:val="clear"/>
          </w:tcPr>
          <w:p>
            <w:pPr>
              <w:pStyle w:val="Normal"/>
              <w:spacing w:lineRule="auto" w:line="276"/>
              <w:jc w:val="center"/>
              <w:rPr/>
            </w:pPr>
            <w:r>
              <w:rPr/>
              <w:t>Y</w:t>
            </w:r>
          </w:p>
        </w:tc>
        <w:tc>
          <w:tcPr>
            <w:tcW w:w="1345" w:type="dxa"/>
            <w:gridSpan w:val="2"/>
            <w:tcBorders>
              <w:bottom w:val="single" w:sz="8" w:space="0" w:color="000000"/>
            </w:tcBorders>
            <w:shd w:color="auto" w:fill="auto" w:val="clear"/>
          </w:tcPr>
          <w:p>
            <w:pPr>
              <w:pStyle w:val="Normal"/>
              <w:spacing w:lineRule="auto" w:line="276"/>
              <w:jc w:val="center"/>
              <w:rPr/>
            </w:pPr>
            <w:r>
              <w:rPr/>
              <w:t>Y</w:t>
            </w:r>
          </w:p>
        </w:tc>
        <w:tc>
          <w:tcPr>
            <w:tcW w:w="1271" w:type="dxa"/>
            <w:gridSpan w:val="2"/>
            <w:tcBorders>
              <w:bottom w:val="single" w:sz="8" w:space="0" w:color="000000"/>
            </w:tcBorders>
            <w:shd w:color="auto" w:fill="auto" w:val="clear"/>
          </w:tcPr>
          <w:p>
            <w:pPr>
              <w:pStyle w:val="Normal"/>
              <w:spacing w:lineRule="auto" w:line="276"/>
              <w:jc w:val="center"/>
              <w:rPr/>
            </w:pPr>
            <w:r>
              <w:rPr/>
              <w:t>Y</w:t>
            </w:r>
          </w:p>
        </w:tc>
      </w:tr>
    </w:tbl>
    <w:p>
      <w:pPr>
        <w:pStyle w:val="Normal"/>
        <w:spacing w:lineRule="auto" w:line="276"/>
        <w:ind w:left="720" w:hanging="0"/>
        <w:rPr>
          <w:i/>
          <w:i/>
          <w:ins w:id="244" w:author="Unknown Author" w:date="2020-03-30T14:47:00Z"/>
        </w:rPr>
      </w:pPr>
      <w:ins w:id="243" w:author="Unknown Author" w:date="2020-03-30T14:47:00Z">
        <w:r>
          <w:rPr>
            <w:i/>
          </w:rPr>
        </w:r>
      </w:ins>
    </w:p>
    <w:p>
      <w:pPr>
        <w:pStyle w:val="Normal"/>
        <w:spacing w:lineRule="auto" w:line="276"/>
        <w:rPr/>
      </w:pPr>
      <w:r>
        <w:rPr>
          <w:i/>
        </w:rPr>
        <w:t xml:space="preserve">Note.   </w:t>
      </w:r>
      <w:r>
        <w:rPr/>
        <w:t xml:space="preserve">Not all parameters were estimated for all three models. The variable-precision diffusion model did not include a mixed guessing process, and therefore lacked </w:t>
      </w:r>
      <w:r>
        <w:rPr>
          <w:i/>
        </w:rPr>
        <w:t>a2</w:t>
      </w:r>
      <w:r>
        <w:rPr/>
        <w:t xml:space="preserve">, </w:t>
      </w:r>
      <w:r>
        <w:rPr>
          <w:i/>
        </w:rPr>
        <w:t xml:space="preserve">π1 </w:t>
      </w:r>
      <w:r>
        <w:rPr/>
        <w:t xml:space="preserve">and </w:t>
      </w:r>
      <w:r>
        <w:rPr>
          <w:i/>
        </w:rPr>
        <w:t xml:space="preserve">π2. </w:t>
      </w:r>
      <w:r>
        <w:rPr/>
        <w:t xml:space="preserve">The threshold diffusion model did not have drift variability and lacked </w:t>
      </w:r>
      <w:r>
        <w:rPr>
          <w:i/>
        </w:rPr>
        <w:t>η</w:t>
      </w:r>
      <w:r>
        <w:rPr/>
        <w:t xml:space="preserve">. The hybrid diffusion model included all </w:t>
      </w:r>
      <w:ins w:id="245" w:author="Unknown Author" w:date="2020-04-15T11:18:58Z">
        <w:r>
          <w:rPr/>
          <w:t xml:space="preserve">seven </w:t>
        </w:r>
      </w:ins>
      <w:r>
        <w:rPr/>
        <w:t>parameters</w:t>
      </w:r>
      <w:del w:id="246" w:author="Unknown Author" w:date="2020-04-15T11:19:05Z">
        <w:r>
          <w:rPr/>
          <w:delText xml:space="preserve"> listed</w:delText>
        </w:r>
      </w:del>
      <w:r>
        <w:rPr/>
        <w:t xml:space="preserve">. </w:t>
      </w:r>
    </w:p>
    <w:p>
      <w:pPr>
        <w:pStyle w:val="Normal"/>
        <w:rPr/>
      </w:pPr>
      <w:r>
        <w:rPr/>
      </w:r>
    </w:p>
    <w:p>
      <w:pPr>
        <w:pStyle w:val="Normal"/>
        <w:ind w:firstLine="720"/>
        <w:rPr/>
      </w:pPr>
      <w:r>
        <w:rPr/>
        <w:t xml:space="preserve">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The Bayesian Information Criterion (BIC) and Log Likelihood (LL) for the three models’ fits to each participant is shown in Table 8. </w:t>
      </w:r>
      <w:ins w:id="247" w:author="Unknown Author" w:date="2020-04-15T11:20:22Z">
        <w:r>
          <w:rPr/>
          <w:t xml:space="preserve"> </w:t>
        </w:r>
      </w:ins>
      <w:ins w:id="248" w:author="Unknown Author" w:date="2020-04-15T11:20:22Z">
        <w:r>
          <w:rPr/>
          <w:t>[No log-likelihood in Table 8?</w:t>
        </w:r>
      </w:ins>
      <w:ins w:id="249" w:author="Unknown Author" w:date="2020-04-15T11:22:03Z">
        <w:r>
          <w:rPr/>
          <w:t xml:space="preserve"> Maybe define BIC for completeness?] We compared models using the Bayesian Information Criterion</w:t>
        </w:r>
      </w:ins>
      <w:ins w:id="250" w:author="Unknown Author" w:date="2020-04-15T11:23:24Z">
        <w:r>
          <w:rPr/>
          <w:t>, defined as</w:t>
        </w:r>
      </w:ins>
    </w:p>
    <w:p>
      <w:pPr>
        <w:pStyle w:val="Normal"/>
        <w:ind w:firstLine="720"/>
        <w:rPr/>
      </w:pPr>
      <w:ins w:id="252" w:author="Unknown Author" w:date="2020-04-15T11:23:24Z">
        <w:r>
          <w:rPr/>
          <w:t>BIC = -</w:t>
        </w:r>
      </w:ins>
      <w:ins w:id="253" w:author="Unknown Author" w:date="2020-04-15T11:23:24Z">
        <w:bookmarkStart w:id="14" w:name="__DdeLink__6078_2221258033"/>
        <w:r>
          <w:rPr/>
          <w:t>2</w:t>
        </w:r>
      </w:ins>
      <w:ins w:id="254" w:author="Unknown Author" w:date="2020-04-15T11:23:24Z">
        <w:r>
          <w:rPr>
            <w:i/>
            <w:iCs/>
          </w:rPr>
          <w:t>LL</w:t>
        </w:r>
      </w:ins>
      <w:ins w:id="255" w:author="Unknown Author" w:date="2020-04-15T11:23:24Z">
        <w:r>
          <w:rPr>
            <w:i w:val="false"/>
            <w:iCs w:val="false"/>
          </w:rPr>
          <w:softHyphen/>
        </w:r>
      </w:ins>
      <w:ins w:id="256" w:author="Unknown Author" w:date="2020-04-15T11:24:06Z">
        <w:r>
          <w:rPr>
            <w:i w:val="false"/>
            <w:iCs w:val="false"/>
            <w:vertAlign w:val="subscript"/>
          </w:rPr>
          <w:t xml:space="preserve">max </w:t>
        </w:r>
      </w:ins>
      <w:ins w:id="257" w:author="Unknown Author" w:date="2020-04-15T11:24:06Z">
        <w:bookmarkEnd w:id="14"/>
        <w:r>
          <w:rPr>
            <w:i w:val="false"/>
            <w:iCs w:val="false"/>
            <w:position w:val="0"/>
            <w:sz w:val="24"/>
            <w:vertAlign w:val="baseline"/>
          </w:rPr>
          <w:t xml:space="preserve">+ </w:t>
        </w:r>
      </w:ins>
      <w:ins w:id="258" w:author="Unknown Author" w:date="2020-04-15T11:24:06Z">
        <w:r>
          <w:rPr>
            <w:i/>
            <w:iCs/>
            <w:position w:val="0"/>
            <w:sz w:val="24"/>
            <w:vertAlign w:val="baseline"/>
          </w:rPr>
          <w:t>m</w:t>
        </w:r>
      </w:ins>
      <w:ins w:id="259" w:author="Unknown Author" w:date="2020-04-15T11:24:06Z">
        <w:r>
          <w:rPr>
            <w:i w:val="false"/>
            <w:iCs w:val="false"/>
            <w:position w:val="0"/>
            <w:sz w:val="24"/>
            <w:vertAlign w:val="baseline"/>
          </w:rPr>
          <w:t xml:space="preserve"> log </w:t>
        </w:r>
      </w:ins>
      <w:ins w:id="260" w:author="Unknown Author" w:date="2020-04-15T11:24:06Z">
        <w:r>
          <w:rPr>
            <w:i/>
            <w:iCs/>
            <w:position w:val="0"/>
            <w:sz w:val="24"/>
            <w:vertAlign w:val="baseline"/>
          </w:rPr>
          <w:t>N</w:t>
        </w:r>
      </w:ins>
      <w:ins w:id="261" w:author="Unknown Author" w:date="2020-04-15T11:25:02Z">
        <w:r>
          <w:rPr>
            <w:i/>
            <w:iCs/>
            <w:position w:val="0"/>
            <w:sz w:val="24"/>
            <w:vertAlign w:val="baseline"/>
          </w:rPr>
          <w:t>,</w:t>
        </w:r>
      </w:ins>
    </w:p>
    <w:p>
      <w:pPr>
        <w:pStyle w:val="Normal"/>
        <w:ind w:hanging="0"/>
        <w:rPr/>
      </w:pPr>
      <w:ins w:id="263" w:author="Unknown Author" w:date="2020-04-15T11:25:02Z">
        <w:r>
          <w:rPr>
            <w:i w:val="false"/>
            <w:iCs w:val="false"/>
            <w:position w:val="0"/>
            <w:sz w:val="24"/>
            <w:vertAlign w:val="baseline"/>
          </w:rPr>
          <w:t>where 2</w:t>
        </w:r>
      </w:ins>
      <w:ins w:id="264" w:author="Unknown Author" w:date="2020-04-15T11:25:02Z">
        <w:r>
          <w:rPr>
            <w:i/>
            <w:iCs/>
            <w:position w:val="0"/>
            <w:sz w:val="24"/>
            <w:vertAlign w:val="baseline"/>
          </w:rPr>
          <w:t>LL</w:t>
        </w:r>
      </w:ins>
      <w:ins w:id="265" w:author="Unknown Author" w:date="2020-04-15T11:25:02Z">
        <w:r>
          <w:rPr>
            <w:i w:val="false"/>
            <w:iCs w:val="false"/>
            <w:position w:val="0"/>
            <w:sz w:val="24"/>
            <w:vertAlign w:val="baseline"/>
          </w:rPr>
          <w:softHyphen/>
        </w:r>
      </w:ins>
      <w:ins w:id="266" w:author="Unknown Author" w:date="2020-04-15T11:25:02Z">
        <w:r>
          <w:rPr>
            <w:i w:val="false"/>
            <w:iCs w:val="false"/>
            <w:vertAlign w:val="subscript"/>
          </w:rPr>
          <w:t xml:space="preserve">max </w:t>
        </w:r>
      </w:ins>
      <w:ins w:id="267" w:author="Unknown Author" w:date="2020-04-15T11:25:02Z">
        <w:r>
          <w:rPr>
            <w:i w:val="false"/>
            <w:iCs w:val="false"/>
            <w:position w:val="0"/>
            <w:sz w:val="24"/>
            <w:vertAlign w:val="baseline"/>
          </w:rPr>
          <w:t xml:space="preserve">is the maximized log-likelihood, </w:t>
        </w:r>
      </w:ins>
      <w:ins w:id="268" w:author="Unknown Author" w:date="2020-04-15T11:25:02Z">
        <w:r>
          <w:rPr>
            <w:i/>
            <w:iCs/>
            <w:position w:val="0"/>
            <w:sz w:val="24"/>
            <w:vertAlign w:val="baseline"/>
          </w:rPr>
          <w:t xml:space="preserve">m </w:t>
        </w:r>
      </w:ins>
      <w:ins w:id="269" w:author="Unknown Author" w:date="2020-04-15T11:25:02Z">
        <w:r>
          <w:rPr>
            <w:i w:val="false"/>
            <w:iCs w:val="false"/>
            <w:position w:val="0"/>
            <w:sz w:val="24"/>
            <w:vertAlign w:val="baseline"/>
          </w:rPr>
          <w:t xml:space="preserve">is the number of free parameters in the model, and </w:t>
        </w:r>
      </w:ins>
      <w:ins w:id="270" w:author="Unknown Author" w:date="2020-04-15T11:25:02Z">
        <w:r>
          <w:rPr>
            <w:i/>
            <w:iCs/>
            <w:position w:val="0"/>
            <w:sz w:val="24"/>
            <w:vertAlign w:val="baseline"/>
          </w:rPr>
          <w:t>N</w:t>
        </w:r>
      </w:ins>
      <w:ins w:id="271" w:author="Unknown Author" w:date="2020-04-15T11:25:02Z">
        <w:r>
          <w:rPr>
            <w:i w:val="false"/>
            <w:iCs w:val="false"/>
            <w:position w:val="0"/>
            <w:sz w:val="24"/>
            <w:vertAlign w:val="baseline"/>
          </w:rPr>
          <w:t xml:space="preserve"> is the sample size.</w:t>
        </w:r>
      </w:ins>
    </w:p>
    <w:p>
      <w:pPr>
        <w:pStyle w:val="Normal"/>
        <w:ind w:left="0" w:firstLine="720"/>
        <w:jc w:val="left"/>
        <w:rPr>
          <w:i/>
          <w:i/>
          <w:iCs/>
          <w:position w:val="0"/>
          <w:sz w:val="24"/>
          <w:vertAlign w:val="baseline"/>
        </w:rPr>
      </w:pPr>
      <w:r>
        <w:rPr/>
      </w:r>
    </w:p>
    <w:tbl>
      <w:tblPr>
        <w:tblW w:w="9471" w:type="dxa"/>
        <w:jc w:val="left"/>
        <w:tblInd w:w="0" w:type="dxa"/>
        <w:tblCellMar>
          <w:top w:w="0" w:type="dxa"/>
          <w:left w:w="108" w:type="dxa"/>
          <w:bottom w:w="0" w:type="dxa"/>
          <w:right w:w="108" w:type="dxa"/>
        </w:tblCellMar>
        <w:tblLook w:val="04a0" w:noVBand="1" w:noHBand="0" w:lastColumn="0" w:firstColumn="1" w:lastRow="0" w:firstRow="1"/>
      </w:tblPr>
      <w:tblGrid>
        <w:gridCol w:w="1806"/>
        <w:gridCol w:w="501"/>
        <w:gridCol w:w="2"/>
        <w:gridCol w:w="2417"/>
        <w:gridCol w:w="1"/>
        <w:gridCol w:w="2518"/>
        <w:gridCol w:w="2"/>
        <w:gridCol w:w="2224"/>
      </w:tblGrid>
      <w:tr>
        <w:trPr>
          <w:trHeight w:val="270" w:hRule="atLeast"/>
        </w:trPr>
        <w:tc>
          <w:tcPr>
            <w:tcW w:w="9471" w:type="dxa"/>
            <w:gridSpan w:val="8"/>
            <w:tcBorders/>
            <w:shd w:color="auto" w:fill="auto" w:val="clear"/>
          </w:tcPr>
          <w:p>
            <w:pPr>
              <w:pStyle w:val="Normal"/>
              <w:spacing w:lineRule="auto" w:line="240"/>
              <w:rPr/>
            </w:pPr>
            <w:r>
              <w:rPr/>
              <w:t>Table 8</w:t>
            </w:r>
          </w:p>
        </w:tc>
      </w:tr>
      <w:tr>
        <w:trPr>
          <w:trHeight w:val="270" w:hRule="atLeast"/>
        </w:trPr>
        <w:tc>
          <w:tcPr>
            <w:tcW w:w="9471" w:type="dxa"/>
            <w:gridSpan w:val="8"/>
            <w:tcBorders>
              <w:bottom w:val="single" w:sz="4" w:space="0" w:color="000000"/>
            </w:tcBorders>
            <w:shd w:color="auto" w:fill="auto" w:val="clear"/>
          </w:tcPr>
          <w:p>
            <w:pPr>
              <w:pStyle w:val="Normal"/>
              <w:spacing w:lineRule="auto" w:line="240"/>
              <w:rPr/>
            </w:pPr>
            <w:r>
              <w:rPr/>
              <w:t>Bayesian Information Criterion (BIC) values for Fits of the Models to Individual Data</w:t>
            </w:r>
          </w:p>
        </w:tc>
      </w:tr>
      <w:tr>
        <w:trPr>
          <w:trHeight w:val="270" w:hRule="atLeast"/>
        </w:trPr>
        <w:tc>
          <w:tcPr>
            <w:tcW w:w="2309" w:type="dxa"/>
            <w:gridSpan w:val="3"/>
            <w:tcBorders>
              <w:top w:val="single" w:sz="4" w:space="0" w:color="000000"/>
              <w:bottom w:val="single" w:sz="4" w:space="0" w:color="000000"/>
            </w:tcBorders>
            <w:shd w:color="auto" w:fill="auto" w:val="clear"/>
          </w:tcPr>
          <w:p>
            <w:pPr>
              <w:pStyle w:val="Normal"/>
              <w:spacing w:lineRule="auto" w:line="240"/>
              <w:jc w:val="center"/>
              <w:rPr/>
            </w:pPr>
            <w:r>
              <w:rPr/>
              <w:t>Participant</w:t>
            </w:r>
          </w:p>
        </w:tc>
        <w:tc>
          <w:tcPr>
            <w:tcW w:w="2418"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Variable-precision</w:t>
            </w:r>
          </w:p>
        </w:tc>
        <w:tc>
          <w:tcPr>
            <w:tcW w:w="2520"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Threshold</w:t>
            </w:r>
          </w:p>
        </w:tc>
        <w:tc>
          <w:tcPr>
            <w:tcW w:w="2224" w:type="dxa"/>
            <w:tcBorders>
              <w:top w:val="single" w:sz="4" w:space="0" w:color="000000"/>
              <w:bottom w:val="single" w:sz="4" w:space="0" w:color="000000"/>
            </w:tcBorders>
            <w:shd w:color="auto" w:fill="auto" w:val="clear"/>
            <w:vAlign w:val="bottom"/>
          </w:tcPr>
          <w:p>
            <w:pPr>
              <w:pStyle w:val="Normal"/>
              <w:spacing w:lineRule="auto" w:line="240"/>
              <w:jc w:val="center"/>
              <w:rPr/>
            </w:pPr>
            <w:r>
              <w:rPr/>
              <w:t>Hybrid</w:t>
            </w:r>
          </w:p>
        </w:tc>
      </w:tr>
      <w:tr>
        <w:trPr>
          <w:trHeight w:val="270" w:hRule="atLeast"/>
        </w:trPr>
        <w:tc>
          <w:tcPr>
            <w:tcW w:w="1806" w:type="dxa"/>
            <w:tcBorders>
              <w:top w:val="single" w:sz="4" w:space="0" w:color="000000"/>
            </w:tcBorders>
            <w:shd w:color="auto" w:fill="auto" w:val="clear"/>
          </w:tcPr>
          <w:p>
            <w:pPr>
              <w:pStyle w:val="Normal"/>
              <w:spacing w:lineRule="auto" w:line="240"/>
              <w:jc w:val="right"/>
              <w:rPr/>
            </w:pPr>
            <w:r>
              <w:rPr/>
              <w:t>High Precision</w:t>
            </w:r>
          </w:p>
        </w:tc>
        <w:tc>
          <w:tcPr>
            <w:tcW w:w="501" w:type="dxa"/>
            <w:tcBorders>
              <w:top w:val="single" w:sz="4" w:space="0" w:color="000000"/>
            </w:tcBorders>
            <w:shd w:color="auto" w:fill="auto" w:val="clear"/>
          </w:tcPr>
          <w:p>
            <w:pPr>
              <w:pStyle w:val="Normal"/>
              <w:spacing w:lineRule="auto" w:line="240"/>
              <w:jc w:val="right"/>
              <w:rPr/>
            </w:pPr>
            <w:r>
              <w:rPr/>
              <w:t>2</w:t>
            </w:r>
          </w:p>
        </w:tc>
        <w:tc>
          <w:tcPr>
            <w:tcW w:w="2419" w:type="dxa"/>
            <w:gridSpan w:val="2"/>
            <w:tcBorders>
              <w:top w:val="single" w:sz="4" w:space="0" w:color="000000"/>
            </w:tcBorders>
            <w:shd w:color="auto" w:fill="auto" w:val="clear"/>
            <w:vAlign w:val="bottom"/>
          </w:tcPr>
          <w:p>
            <w:pPr>
              <w:pStyle w:val="Normal"/>
              <w:spacing w:lineRule="auto" w:line="240"/>
              <w:jc w:val="center"/>
              <w:rPr/>
            </w:pPr>
            <w:r>
              <w:rPr/>
              <w:t>2211.62</w:t>
            </w:r>
          </w:p>
        </w:tc>
        <w:tc>
          <w:tcPr>
            <w:tcW w:w="2519" w:type="dxa"/>
            <w:gridSpan w:val="2"/>
            <w:tcBorders>
              <w:top w:val="single" w:sz="4" w:space="0" w:color="000000"/>
            </w:tcBorders>
            <w:shd w:color="auto" w:fill="auto" w:val="clear"/>
            <w:vAlign w:val="bottom"/>
          </w:tcPr>
          <w:p>
            <w:pPr>
              <w:pStyle w:val="Normal"/>
              <w:spacing w:lineRule="auto" w:line="240"/>
              <w:jc w:val="center"/>
              <w:rPr/>
            </w:pPr>
            <w:r>
              <w:rPr/>
              <w:t>1974.04</w:t>
            </w:r>
          </w:p>
        </w:tc>
        <w:tc>
          <w:tcPr>
            <w:tcW w:w="2226" w:type="dxa"/>
            <w:gridSpan w:val="2"/>
            <w:tcBorders>
              <w:top w:val="single" w:sz="4" w:space="0" w:color="000000"/>
            </w:tcBorders>
            <w:shd w:color="auto" w:fill="auto" w:val="clear"/>
            <w:vAlign w:val="bottom"/>
          </w:tcPr>
          <w:p>
            <w:pPr>
              <w:pStyle w:val="Normal"/>
              <w:spacing w:lineRule="auto" w:line="240"/>
              <w:jc w:val="center"/>
              <w:rPr>
                <w:b/>
                <w:b/>
                <w:bCs/>
              </w:rPr>
            </w:pPr>
            <w:r>
              <w:rPr>
                <w:b/>
                <w:bCs/>
              </w:rPr>
              <w:t>1973.43</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3</w:t>
            </w:r>
          </w:p>
        </w:tc>
        <w:tc>
          <w:tcPr>
            <w:tcW w:w="2419" w:type="dxa"/>
            <w:gridSpan w:val="2"/>
            <w:tcBorders/>
            <w:shd w:color="auto" w:fill="auto" w:val="clear"/>
            <w:vAlign w:val="bottom"/>
          </w:tcPr>
          <w:p>
            <w:pPr>
              <w:pStyle w:val="Normal"/>
              <w:spacing w:lineRule="auto" w:line="240"/>
              <w:jc w:val="center"/>
              <w:rPr/>
            </w:pPr>
            <w:r>
              <w:rPr/>
              <w:t>1875.35</w:t>
            </w:r>
          </w:p>
        </w:tc>
        <w:tc>
          <w:tcPr>
            <w:tcW w:w="2519" w:type="dxa"/>
            <w:gridSpan w:val="2"/>
            <w:tcBorders/>
            <w:shd w:color="auto" w:fill="auto" w:val="clear"/>
            <w:vAlign w:val="bottom"/>
          </w:tcPr>
          <w:p>
            <w:pPr>
              <w:pStyle w:val="Normal"/>
              <w:spacing w:lineRule="auto" w:line="240"/>
              <w:jc w:val="center"/>
              <w:rPr>
                <w:b/>
                <w:b/>
                <w:bCs/>
              </w:rPr>
            </w:pPr>
            <w:r>
              <w:rPr>
                <w:b/>
                <w:bCs/>
              </w:rPr>
              <w:t>1743.92</w:t>
            </w:r>
          </w:p>
        </w:tc>
        <w:tc>
          <w:tcPr>
            <w:tcW w:w="2226" w:type="dxa"/>
            <w:gridSpan w:val="2"/>
            <w:tcBorders/>
            <w:shd w:color="auto" w:fill="auto" w:val="clear"/>
            <w:vAlign w:val="bottom"/>
          </w:tcPr>
          <w:p>
            <w:pPr>
              <w:pStyle w:val="Normal"/>
              <w:spacing w:lineRule="auto" w:line="240"/>
              <w:jc w:val="center"/>
              <w:rPr/>
            </w:pPr>
            <w:r>
              <w:rPr/>
              <w:t>1749.93</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4</w:t>
            </w:r>
          </w:p>
        </w:tc>
        <w:tc>
          <w:tcPr>
            <w:tcW w:w="2419" w:type="dxa"/>
            <w:gridSpan w:val="2"/>
            <w:tcBorders/>
            <w:shd w:color="auto" w:fill="auto" w:val="clear"/>
            <w:vAlign w:val="bottom"/>
          </w:tcPr>
          <w:p>
            <w:pPr>
              <w:pStyle w:val="Normal"/>
              <w:spacing w:lineRule="auto" w:line="240"/>
              <w:jc w:val="center"/>
              <w:rPr/>
            </w:pPr>
            <w:r>
              <w:rPr/>
              <w:t>3724.85</w:t>
            </w:r>
          </w:p>
        </w:tc>
        <w:tc>
          <w:tcPr>
            <w:tcW w:w="2519" w:type="dxa"/>
            <w:gridSpan w:val="2"/>
            <w:tcBorders/>
            <w:shd w:color="auto" w:fill="auto" w:val="clear"/>
            <w:vAlign w:val="bottom"/>
          </w:tcPr>
          <w:p>
            <w:pPr>
              <w:pStyle w:val="Normal"/>
              <w:spacing w:lineRule="auto" w:line="240"/>
              <w:jc w:val="center"/>
              <w:rPr>
                <w:b/>
                <w:b/>
                <w:bCs/>
              </w:rPr>
            </w:pPr>
            <w:r>
              <w:rPr>
                <w:b/>
                <w:bCs/>
              </w:rPr>
              <w:t>3158.48</w:t>
            </w:r>
          </w:p>
        </w:tc>
        <w:tc>
          <w:tcPr>
            <w:tcW w:w="2226" w:type="dxa"/>
            <w:gridSpan w:val="2"/>
            <w:tcBorders/>
            <w:shd w:color="auto" w:fill="auto" w:val="clear"/>
            <w:vAlign w:val="bottom"/>
          </w:tcPr>
          <w:p>
            <w:pPr>
              <w:pStyle w:val="Normal"/>
              <w:spacing w:lineRule="auto" w:line="240"/>
              <w:jc w:val="center"/>
              <w:rPr/>
            </w:pPr>
            <w:r>
              <w:rPr/>
              <w:t>3162.36</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5</w:t>
            </w:r>
          </w:p>
        </w:tc>
        <w:tc>
          <w:tcPr>
            <w:tcW w:w="2419" w:type="dxa"/>
            <w:gridSpan w:val="2"/>
            <w:tcBorders/>
            <w:shd w:color="auto" w:fill="auto" w:val="clear"/>
            <w:vAlign w:val="bottom"/>
          </w:tcPr>
          <w:p>
            <w:pPr>
              <w:pStyle w:val="Normal"/>
              <w:spacing w:lineRule="auto" w:line="240"/>
              <w:jc w:val="center"/>
              <w:rPr/>
            </w:pPr>
            <w:r>
              <w:rPr/>
              <w:t>2180.82</w:t>
            </w:r>
          </w:p>
        </w:tc>
        <w:tc>
          <w:tcPr>
            <w:tcW w:w="2519" w:type="dxa"/>
            <w:gridSpan w:val="2"/>
            <w:tcBorders/>
            <w:shd w:color="auto" w:fill="auto" w:val="clear"/>
            <w:vAlign w:val="bottom"/>
          </w:tcPr>
          <w:p>
            <w:pPr>
              <w:pStyle w:val="Normal"/>
              <w:spacing w:lineRule="auto" w:line="240"/>
              <w:jc w:val="center"/>
              <w:rPr>
                <w:b/>
                <w:b/>
                <w:bCs/>
              </w:rPr>
            </w:pPr>
            <w:r>
              <w:rPr>
                <w:b/>
                <w:bCs/>
              </w:rPr>
              <w:t>1985.66</w:t>
            </w:r>
          </w:p>
        </w:tc>
        <w:tc>
          <w:tcPr>
            <w:tcW w:w="2226" w:type="dxa"/>
            <w:gridSpan w:val="2"/>
            <w:tcBorders/>
            <w:shd w:color="auto" w:fill="auto" w:val="clear"/>
            <w:vAlign w:val="bottom"/>
          </w:tcPr>
          <w:p>
            <w:pPr>
              <w:pStyle w:val="Normal"/>
              <w:spacing w:lineRule="auto" w:line="240"/>
              <w:jc w:val="center"/>
              <w:rPr/>
            </w:pPr>
            <w:r>
              <w:rPr/>
              <w:t>1991.72</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6</w:t>
            </w:r>
          </w:p>
        </w:tc>
        <w:tc>
          <w:tcPr>
            <w:tcW w:w="2419" w:type="dxa"/>
            <w:gridSpan w:val="2"/>
            <w:tcBorders/>
            <w:shd w:color="auto" w:fill="auto" w:val="clear"/>
            <w:vAlign w:val="bottom"/>
          </w:tcPr>
          <w:p>
            <w:pPr>
              <w:pStyle w:val="Normal"/>
              <w:spacing w:lineRule="auto" w:line="240"/>
              <w:jc w:val="center"/>
              <w:rPr/>
            </w:pPr>
            <w:r>
              <w:rPr/>
              <w:t>1581.47</w:t>
            </w:r>
          </w:p>
        </w:tc>
        <w:tc>
          <w:tcPr>
            <w:tcW w:w="2519" w:type="dxa"/>
            <w:gridSpan w:val="2"/>
            <w:tcBorders/>
            <w:shd w:color="auto" w:fill="auto" w:val="clear"/>
            <w:vAlign w:val="bottom"/>
          </w:tcPr>
          <w:p>
            <w:pPr>
              <w:pStyle w:val="Normal"/>
              <w:spacing w:lineRule="auto" w:line="240"/>
              <w:jc w:val="center"/>
              <w:rPr>
                <w:b/>
                <w:b/>
                <w:bCs/>
              </w:rPr>
            </w:pPr>
            <w:r>
              <w:rPr>
                <w:b/>
                <w:bCs/>
              </w:rPr>
              <w:t>1529.58</w:t>
            </w:r>
          </w:p>
        </w:tc>
        <w:tc>
          <w:tcPr>
            <w:tcW w:w="2226" w:type="dxa"/>
            <w:gridSpan w:val="2"/>
            <w:tcBorders/>
            <w:shd w:color="auto" w:fill="auto" w:val="clear"/>
            <w:vAlign w:val="bottom"/>
          </w:tcPr>
          <w:p>
            <w:pPr>
              <w:pStyle w:val="Normal"/>
              <w:spacing w:lineRule="auto" w:line="240"/>
              <w:jc w:val="center"/>
              <w:rPr/>
            </w:pPr>
            <w:r>
              <w:rPr/>
              <w:t>1530.76</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7</w:t>
            </w:r>
          </w:p>
        </w:tc>
        <w:tc>
          <w:tcPr>
            <w:tcW w:w="2419" w:type="dxa"/>
            <w:gridSpan w:val="2"/>
            <w:tcBorders/>
            <w:shd w:color="auto" w:fill="auto" w:val="clear"/>
            <w:vAlign w:val="bottom"/>
          </w:tcPr>
          <w:p>
            <w:pPr>
              <w:pStyle w:val="Normal"/>
              <w:spacing w:lineRule="auto" w:line="240"/>
              <w:jc w:val="center"/>
              <w:rPr/>
            </w:pPr>
            <w:r>
              <w:rPr/>
              <w:t>1448.65</w:t>
            </w:r>
          </w:p>
        </w:tc>
        <w:tc>
          <w:tcPr>
            <w:tcW w:w="2519" w:type="dxa"/>
            <w:gridSpan w:val="2"/>
            <w:tcBorders/>
            <w:shd w:color="auto" w:fill="auto" w:val="clear"/>
            <w:vAlign w:val="bottom"/>
          </w:tcPr>
          <w:p>
            <w:pPr>
              <w:pStyle w:val="Normal"/>
              <w:spacing w:lineRule="auto" w:line="240"/>
              <w:jc w:val="center"/>
              <w:rPr>
                <w:b/>
                <w:b/>
                <w:bCs/>
              </w:rPr>
            </w:pPr>
            <w:r>
              <w:rPr>
                <w:b/>
                <w:bCs/>
              </w:rPr>
              <w:t>1275.30</w:t>
            </w:r>
          </w:p>
        </w:tc>
        <w:tc>
          <w:tcPr>
            <w:tcW w:w="2226" w:type="dxa"/>
            <w:gridSpan w:val="2"/>
            <w:tcBorders/>
            <w:shd w:color="auto" w:fill="auto" w:val="clear"/>
            <w:vAlign w:val="bottom"/>
          </w:tcPr>
          <w:p>
            <w:pPr>
              <w:pStyle w:val="Normal"/>
              <w:spacing w:lineRule="auto" w:line="240"/>
              <w:jc w:val="center"/>
              <w:rPr/>
            </w:pPr>
            <w:r>
              <w:rPr/>
              <w:t>1278.28</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8</w:t>
            </w:r>
          </w:p>
        </w:tc>
        <w:tc>
          <w:tcPr>
            <w:tcW w:w="2419" w:type="dxa"/>
            <w:gridSpan w:val="2"/>
            <w:tcBorders/>
            <w:shd w:color="auto" w:fill="auto" w:val="clear"/>
            <w:vAlign w:val="bottom"/>
          </w:tcPr>
          <w:p>
            <w:pPr>
              <w:pStyle w:val="Normal"/>
              <w:spacing w:lineRule="auto" w:line="240"/>
              <w:jc w:val="center"/>
              <w:rPr/>
            </w:pPr>
            <w:r>
              <w:rPr/>
              <w:t>1222.85</w:t>
            </w:r>
          </w:p>
        </w:tc>
        <w:tc>
          <w:tcPr>
            <w:tcW w:w="2519" w:type="dxa"/>
            <w:gridSpan w:val="2"/>
            <w:tcBorders/>
            <w:shd w:color="auto" w:fill="auto" w:val="clear"/>
            <w:vAlign w:val="bottom"/>
          </w:tcPr>
          <w:p>
            <w:pPr>
              <w:pStyle w:val="Normal"/>
              <w:spacing w:lineRule="auto" w:line="240"/>
              <w:jc w:val="center"/>
              <w:rPr>
                <w:b/>
                <w:b/>
                <w:bCs/>
              </w:rPr>
            </w:pPr>
            <w:r>
              <w:rPr>
                <w:b/>
                <w:bCs/>
              </w:rPr>
              <w:t>606.70</w:t>
            </w:r>
          </w:p>
        </w:tc>
        <w:tc>
          <w:tcPr>
            <w:tcW w:w="2226" w:type="dxa"/>
            <w:gridSpan w:val="2"/>
            <w:tcBorders/>
            <w:shd w:color="auto" w:fill="auto" w:val="clear"/>
            <w:vAlign w:val="bottom"/>
          </w:tcPr>
          <w:p>
            <w:pPr>
              <w:pStyle w:val="Normal"/>
              <w:spacing w:lineRule="auto" w:line="240"/>
              <w:jc w:val="center"/>
              <w:rPr/>
            </w:pPr>
            <w:r>
              <w:rPr/>
              <w:t>620.79</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9</w:t>
            </w:r>
          </w:p>
        </w:tc>
        <w:tc>
          <w:tcPr>
            <w:tcW w:w="2419" w:type="dxa"/>
            <w:gridSpan w:val="2"/>
            <w:tcBorders/>
            <w:shd w:color="auto" w:fill="auto" w:val="clear"/>
            <w:vAlign w:val="bottom"/>
          </w:tcPr>
          <w:p>
            <w:pPr>
              <w:pStyle w:val="Normal"/>
              <w:spacing w:lineRule="auto" w:line="240"/>
              <w:jc w:val="center"/>
              <w:rPr>
                <w:b/>
                <w:b/>
                <w:bCs/>
              </w:rPr>
            </w:pPr>
            <w:r>
              <w:rPr>
                <w:b/>
                <w:bCs/>
              </w:rPr>
              <w:t>2060.22</w:t>
            </w:r>
          </w:p>
        </w:tc>
        <w:tc>
          <w:tcPr>
            <w:tcW w:w="2519" w:type="dxa"/>
            <w:gridSpan w:val="2"/>
            <w:tcBorders/>
            <w:shd w:color="auto" w:fill="auto" w:val="clear"/>
            <w:vAlign w:val="bottom"/>
          </w:tcPr>
          <w:p>
            <w:pPr>
              <w:pStyle w:val="Normal"/>
              <w:spacing w:lineRule="auto" w:line="240"/>
              <w:jc w:val="center"/>
              <w:rPr/>
            </w:pPr>
            <w:r>
              <w:rPr/>
              <w:t>2065.52</w:t>
            </w:r>
          </w:p>
        </w:tc>
        <w:tc>
          <w:tcPr>
            <w:tcW w:w="2226" w:type="dxa"/>
            <w:gridSpan w:val="2"/>
            <w:tcBorders/>
            <w:shd w:color="auto" w:fill="auto" w:val="clear"/>
            <w:vAlign w:val="bottom"/>
          </w:tcPr>
          <w:p>
            <w:pPr>
              <w:pStyle w:val="Normal"/>
              <w:spacing w:lineRule="auto" w:line="240"/>
              <w:jc w:val="center"/>
              <w:rPr/>
            </w:pPr>
            <w:r>
              <w:rPr/>
              <w:t>2068.87</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10</w:t>
            </w:r>
          </w:p>
        </w:tc>
        <w:tc>
          <w:tcPr>
            <w:tcW w:w="2419" w:type="dxa"/>
            <w:gridSpan w:val="2"/>
            <w:tcBorders/>
            <w:shd w:color="auto" w:fill="auto" w:val="clear"/>
            <w:vAlign w:val="bottom"/>
          </w:tcPr>
          <w:p>
            <w:pPr>
              <w:pStyle w:val="Normal"/>
              <w:spacing w:lineRule="auto" w:line="240"/>
              <w:jc w:val="center"/>
              <w:rPr/>
            </w:pPr>
            <w:r>
              <w:rPr/>
              <w:t>1974.49</w:t>
            </w:r>
          </w:p>
        </w:tc>
        <w:tc>
          <w:tcPr>
            <w:tcW w:w="2519" w:type="dxa"/>
            <w:gridSpan w:val="2"/>
            <w:tcBorders/>
            <w:shd w:color="auto" w:fill="auto" w:val="clear"/>
            <w:vAlign w:val="bottom"/>
          </w:tcPr>
          <w:p>
            <w:pPr>
              <w:pStyle w:val="Normal"/>
              <w:spacing w:lineRule="auto" w:line="240"/>
              <w:jc w:val="center"/>
              <w:rPr/>
            </w:pPr>
            <w:r>
              <w:rPr/>
              <w:t>1857.13</w:t>
            </w:r>
          </w:p>
        </w:tc>
        <w:tc>
          <w:tcPr>
            <w:tcW w:w="2226" w:type="dxa"/>
            <w:gridSpan w:val="2"/>
            <w:tcBorders/>
            <w:shd w:color="auto" w:fill="auto" w:val="clear"/>
            <w:vAlign w:val="bottom"/>
          </w:tcPr>
          <w:p>
            <w:pPr>
              <w:pStyle w:val="Normal"/>
              <w:spacing w:lineRule="auto" w:line="240"/>
              <w:jc w:val="center"/>
              <w:rPr>
                <w:b/>
                <w:b/>
                <w:bCs/>
              </w:rPr>
            </w:pPr>
            <w:r>
              <w:rPr>
                <w:b/>
                <w:bCs/>
              </w:rPr>
              <w:t>1832.28</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11</w:t>
            </w:r>
          </w:p>
        </w:tc>
        <w:tc>
          <w:tcPr>
            <w:tcW w:w="2419" w:type="dxa"/>
            <w:gridSpan w:val="2"/>
            <w:tcBorders/>
            <w:shd w:color="auto" w:fill="auto" w:val="clear"/>
            <w:vAlign w:val="bottom"/>
          </w:tcPr>
          <w:p>
            <w:pPr>
              <w:pStyle w:val="Normal"/>
              <w:spacing w:lineRule="auto" w:line="240"/>
              <w:jc w:val="center"/>
              <w:rPr/>
            </w:pPr>
            <w:r>
              <w:rPr/>
              <w:t>1821.20</w:t>
            </w:r>
          </w:p>
        </w:tc>
        <w:tc>
          <w:tcPr>
            <w:tcW w:w="2519" w:type="dxa"/>
            <w:gridSpan w:val="2"/>
            <w:tcBorders/>
            <w:shd w:color="auto" w:fill="auto" w:val="clear"/>
            <w:vAlign w:val="bottom"/>
          </w:tcPr>
          <w:p>
            <w:pPr>
              <w:pStyle w:val="Normal"/>
              <w:spacing w:lineRule="auto" w:line="240"/>
              <w:jc w:val="center"/>
              <w:rPr>
                <w:b/>
                <w:b/>
                <w:bCs/>
              </w:rPr>
            </w:pPr>
            <w:r>
              <w:rPr>
                <w:b/>
                <w:bCs/>
              </w:rPr>
              <w:t>1638.65</w:t>
            </w:r>
          </w:p>
        </w:tc>
        <w:tc>
          <w:tcPr>
            <w:tcW w:w="2226" w:type="dxa"/>
            <w:gridSpan w:val="2"/>
            <w:tcBorders/>
            <w:shd w:color="auto" w:fill="auto" w:val="clear"/>
            <w:vAlign w:val="bottom"/>
          </w:tcPr>
          <w:p>
            <w:pPr>
              <w:pStyle w:val="Normal"/>
              <w:spacing w:lineRule="auto" w:line="240"/>
              <w:jc w:val="center"/>
              <w:rPr/>
            </w:pPr>
            <w:r>
              <w:rPr/>
              <w:t>1648.34</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12</w:t>
            </w:r>
          </w:p>
        </w:tc>
        <w:tc>
          <w:tcPr>
            <w:tcW w:w="2419" w:type="dxa"/>
            <w:gridSpan w:val="2"/>
            <w:tcBorders/>
            <w:shd w:color="auto" w:fill="auto" w:val="clear"/>
            <w:vAlign w:val="bottom"/>
          </w:tcPr>
          <w:p>
            <w:pPr>
              <w:pStyle w:val="Normal"/>
              <w:spacing w:lineRule="auto" w:line="240"/>
              <w:jc w:val="center"/>
              <w:rPr/>
            </w:pPr>
            <w:r>
              <w:rPr/>
              <w:t>1479.85</w:t>
            </w:r>
          </w:p>
        </w:tc>
        <w:tc>
          <w:tcPr>
            <w:tcW w:w="2519" w:type="dxa"/>
            <w:gridSpan w:val="2"/>
            <w:tcBorders/>
            <w:shd w:color="auto" w:fill="auto" w:val="clear"/>
            <w:vAlign w:val="bottom"/>
          </w:tcPr>
          <w:p>
            <w:pPr>
              <w:pStyle w:val="Normal"/>
              <w:spacing w:lineRule="auto" w:line="240"/>
              <w:jc w:val="center"/>
              <w:rPr>
                <w:b/>
                <w:b/>
                <w:bCs/>
              </w:rPr>
            </w:pPr>
            <w:r>
              <w:rPr>
                <w:b/>
                <w:bCs/>
              </w:rPr>
              <w:t>1020.29</w:t>
            </w:r>
          </w:p>
        </w:tc>
        <w:tc>
          <w:tcPr>
            <w:tcW w:w="2226" w:type="dxa"/>
            <w:gridSpan w:val="2"/>
            <w:tcBorders/>
            <w:shd w:color="auto" w:fill="auto" w:val="clear"/>
            <w:vAlign w:val="bottom"/>
          </w:tcPr>
          <w:p>
            <w:pPr>
              <w:pStyle w:val="Normal"/>
              <w:spacing w:lineRule="auto" w:line="240"/>
              <w:jc w:val="center"/>
              <w:rPr/>
            </w:pPr>
            <w:r>
              <w:rPr/>
              <w:t>1024.03</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15</w:t>
            </w:r>
          </w:p>
        </w:tc>
        <w:tc>
          <w:tcPr>
            <w:tcW w:w="2419" w:type="dxa"/>
            <w:gridSpan w:val="2"/>
            <w:tcBorders/>
            <w:shd w:color="auto" w:fill="auto" w:val="clear"/>
            <w:vAlign w:val="bottom"/>
          </w:tcPr>
          <w:p>
            <w:pPr>
              <w:pStyle w:val="Normal"/>
              <w:spacing w:lineRule="auto" w:line="240"/>
              <w:jc w:val="center"/>
              <w:rPr>
                <w:b/>
                <w:b/>
                <w:bCs/>
              </w:rPr>
            </w:pPr>
            <w:r>
              <w:rPr>
                <w:b/>
                <w:bCs/>
              </w:rPr>
              <w:t>1880.61</w:t>
            </w:r>
          </w:p>
        </w:tc>
        <w:tc>
          <w:tcPr>
            <w:tcW w:w="2519" w:type="dxa"/>
            <w:gridSpan w:val="2"/>
            <w:tcBorders/>
            <w:shd w:color="auto" w:fill="auto" w:val="clear"/>
            <w:vAlign w:val="bottom"/>
          </w:tcPr>
          <w:p>
            <w:pPr>
              <w:pStyle w:val="Normal"/>
              <w:spacing w:lineRule="auto" w:line="240"/>
              <w:jc w:val="center"/>
              <w:rPr/>
            </w:pPr>
            <w:r>
              <w:rPr/>
              <w:t>1884.47</w:t>
            </w:r>
          </w:p>
        </w:tc>
        <w:tc>
          <w:tcPr>
            <w:tcW w:w="2226" w:type="dxa"/>
            <w:gridSpan w:val="2"/>
            <w:tcBorders/>
            <w:shd w:color="auto" w:fill="auto" w:val="clear"/>
            <w:vAlign w:val="bottom"/>
          </w:tcPr>
          <w:p>
            <w:pPr>
              <w:pStyle w:val="Normal"/>
              <w:spacing w:lineRule="auto" w:line="240"/>
              <w:jc w:val="center"/>
              <w:rPr/>
            </w:pPr>
            <w:r>
              <w:rPr/>
              <w:t>1889.55</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16</w:t>
            </w:r>
          </w:p>
        </w:tc>
        <w:tc>
          <w:tcPr>
            <w:tcW w:w="2419" w:type="dxa"/>
            <w:gridSpan w:val="2"/>
            <w:tcBorders/>
            <w:shd w:color="auto" w:fill="auto" w:val="clear"/>
            <w:vAlign w:val="bottom"/>
          </w:tcPr>
          <w:p>
            <w:pPr>
              <w:pStyle w:val="Normal"/>
              <w:spacing w:lineRule="auto" w:line="240"/>
              <w:jc w:val="center"/>
              <w:rPr/>
            </w:pPr>
            <w:r>
              <w:rPr/>
              <w:t>1965.88</w:t>
            </w:r>
          </w:p>
        </w:tc>
        <w:tc>
          <w:tcPr>
            <w:tcW w:w="2519" w:type="dxa"/>
            <w:gridSpan w:val="2"/>
            <w:tcBorders/>
            <w:shd w:color="auto" w:fill="auto" w:val="clear"/>
            <w:vAlign w:val="bottom"/>
          </w:tcPr>
          <w:p>
            <w:pPr>
              <w:pStyle w:val="Normal"/>
              <w:spacing w:lineRule="auto" w:line="240"/>
              <w:jc w:val="center"/>
              <w:rPr/>
            </w:pPr>
            <w:r>
              <w:rPr/>
              <w:t>1824.08</w:t>
            </w:r>
          </w:p>
        </w:tc>
        <w:tc>
          <w:tcPr>
            <w:tcW w:w="2226" w:type="dxa"/>
            <w:gridSpan w:val="2"/>
            <w:tcBorders/>
            <w:shd w:color="auto" w:fill="auto" w:val="clear"/>
            <w:vAlign w:val="bottom"/>
          </w:tcPr>
          <w:p>
            <w:pPr>
              <w:pStyle w:val="Normal"/>
              <w:spacing w:lineRule="auto" w:line="240"/>
              <w:jc w:val="center"/>
              <w:rPr>
                <w:b/>
                <w:b/>
                <w:bCs/>
              </w:rPr>
            </w:pPr>
            <w:r>
              <w:rPr>
                <w:b/>
                <w:bCs/>
              </w:rPr>
              <w:t>1823.12</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17</w:t>
            </w:r>
          </w:p>
        </w:tc>
        <w:tc>
          <w:tcPr>
            <w:tcW w:w="2419" w:type="dxa"/>
            <w:gridSpan w:val="2"/>
            <w:tcBorders/>
            <w:shd w:color="auto" w:fill="auto" w:val="clear"/>
            <w:vAlign w:val="bottom"/>
          </w:tcPr>
          <w:p>
            <w:pPr>
              <w:pStyle w:val="Normal"/>
              <w:spacing w:lineRule="auto" w:line="240"/>
              <w:jc w:val="center"/>
              <w:rPr>
                <w:b/>
                <w:b/>
                <w:bCs/>
              </w:rPr>
            </w:pPr>
            <w:r>
              <w:rPr>
                <w:b/>
                <w:bCs/>
              </w:rPr>
              <w:t>1978.34</w:t>
            </w:r>
          </w:p>
        </w:tc>
        <w:tc>
          <w:tcPr>
            <w:tcW w:w="2519" w:type="dxa"/>
            <w:gridSpan w:val="2"/>
            <w:tcBorders/>
            <w:shd w:color="auto" w:fill="auto" w:val="clear"/>
            <w:vAlign w:val="bottom"/>
          </w:tcPr>
          <w:p>
            <w:pPr>
              <w:pStyle w:val="Normal"/>
              <w:spacing w:lineRule="auto" w:line="240"/>
              <w:jc w:val="center"/>
              <w:rPr/>
            </w:pPr>
            <w:r>
              <w:rPr/>
              <w:t>2001.04</w:t>
            </w:r>
          </w:p>
        </w:tc>
        <w:tc>
          <w:tcPr>
            <w:tcW w:w="2226" w:type="dxa"/>
            <w:gridSpan w:val="2"/>
            <w:tcBorders/>
            <w:shd w:color="auto" w:fill="auto" w:val="clear"/>
            <w:vAlign w:val="bottom"/>
          </w:tcPr>
          <w:p>
            <w:pPr>
              <w:pStyle w:val="Normal"/>
              <w:spacing w:lineRule="auto" w:line="240"/>
              <w:jc w:val="center"/>
              <w:rPr/>
            </w:pPr>
            <w:r>
              <w:rPr/>
              <w:t>2035.88</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18</w:t>
            </w:r>
          </w:p>
        </w:tc>
        <w:tc>
          <w:tcPr>
            <w:tcW w:w="2419" w:type="dxa"/>
            <w:gridSpan w:val="2"/>
            <w:tcBorders/>
            <w:shd w:color="auto" w:fill="auto" w:val="clear"/>
            <w:vAlign w:val="bottom"/>
          </w:tcPr>
          <w:p>
            <w:pPr>
              <w:pStyle w:val="Normal"/>
              <w:spacing w:lineRule="auto" w:line="240"/>
              <w:jc w:val="center"/>
              <w:rPr/>
            </w:pPr>
            <w:r>
              <w:rPr/>
              <w:t>2062.39</w:t>
            </w:r>
          </w:p>
        </w:tc>
        <w:tc>
          <w:tcPr>
            <w:tcW w:w="2519" w:type="dxa"/>
            <w:gridSpan w:val="2"/>
            <w:tcBorders/>
            <w:shd w:color="auto" w:fill="auto" w:val="clear"/>
            <w:vAlign w:val="bottom"/>
          </w:tcPr>
          <w:p>
            <w:pPr>
              <w:pStyle w:val="Normal"/>
              <w:spacing w:lineRule="auto" w:line="240"/>
              <w:jc w:val="center"/>
              <w:rPr>
                <w:b/>
                <w:b/>
                <w:bCs/>
              </w:rPr>
            </w:pPr>
            <w:r>
              <w:rPr>
                <w:b/>
                <w:bCs/>
              </w:rPr>
              <w:t>1832.53</w:t>
            </w:r>
          </w:p>
        </w:tc>
        <w:tc>
          <w:tcPr>
            <w:tcW w:w="2226" w:type="dxa"/>
            <w:gridSpan w:val="2"/>
            <w:tcBorders/>
            <w:shd w:color="auto" w:fill="auto" w:val="clear"/>
            <w:vAlign w:val="bottom"/>
          </w:tcPr>
          <w:p>
            <w:pPr>
              <w:pStyle w:val="Normal"/>
              <w:spacing w:lineRule="auto" w:line="240"/>
              <w:jc w:val="center"/>
              <w:rPr/>
            </w:pPr>
            <w:r>
              <w:rPr/>
              <w:t>1834.55</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19</w:t>
            </w:r>
          </w:p>
        </w:tc>
        <w:tc>
          <w:tcPr>
            <w:tcW w:w="2419" w:type="dxa"/>
            <w:gridSpan w:val="2"/>
            <w:tcBorders/>
            <w:shd w:color="auto" w:fill="auto" w:val="clear"/>
            <w:vAlign w:val="bottom"/>
          </w:tcPr>
          <w:p>
            <w:pPr>
              <w:pStyle w:val="Normal"/>
              <w:spacing w:lineRule="auto" w:line="240"/>
              <w:jc w:val="center"/>
              <w:rPr/>
            </w:pPr>
            <w:r>
              <w:rPr/>
              <w:t>1620.87</w:t>
            </w:r>
          </w:p>
        </w:tc>
        <w:tc>
          <w:tcPr>
            <w:tcW w:w="2519" w:type="dxa"/>
            <w:gridSpan w:val="2"/>
            <w:tcBorders/>
            <w:shd w:color="auto" w:fill="auto" w:val="clear"/>
            <w:vAlign w:val="bottom"/>
          </w:tcPr>
          <w:p>
            <w:pPr>
              <w:pStyle w:val="Normal"/>
              <w:spacing w:lineRule="auto" w:line="240"/>
              <w:jc w:val="center"/>
              <w:rPr>
                <w:b/>
                <w:b/>
                <w:bCs/>
              </w:rPr>
            </w:pPr>
            <w:r>
              <w:rPr>
                <w:b/>
                <w:bCs/>
              </w:rPr>
              <w:t>1545.20</w:t>
            </w:r>
          </w:p>
        </w:tc>
        <w:tc>
          <w:tcPr>
            <w:tcW w:w="2226" w:type="dxa"/>
            <w:gridSpan w:val="2"/>
            <w:tcBorders/>
            <w:shd w:color="auto" w:fill="auto" w:val="clear"/>
            <w:vAlign w:val="bottom"/>
          </w:tcPr>
          <w:p>
            <w:pPr>
              <w:pStyle w:val="Normal"/>
              <w:spacing w:lineRule="auto" w:line="240"/>
              <w:jc w:val="center"/>
              <w:rPr/>
            </w:pPr>
            <w:r>
              <w:rPr/>
              <w:t>1551.37</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t>20</w:t>
            </w:r>
          </w:p>
        </w:tc>
        <w:tc>
          <w:tcPr>
            <w:tcW w:w="2419" w:type="dxa"/>
            <w:gridSpan w:val="2"/>
            <w:tcBorders/>
            <w:shd w:color="auto" w:fill="auto" w:val="clear"/>
            <w:vAlign w:val="bottom"/>
          </w:tcPr>
          <w:p>
            <w:pPr>
              <w:pStyle w:val="Normal"/>
              <w:spacing w:lineRule="auto" w:line="240"/>
              <w:jc w:val="center"/>
              <w:rPr/>
            </w:pPr>
            <w:r>
              <w:rPr/>
              <w:t>1602.36</w:t>
            </w:r>
          </w:p>
        </w:tc>
        <w:tc>
          <w:tcPr>
            <w:tcW w:w="2519" w:type="dxa"/>
            <w:gridSpan w:val="2"/>
            <w:tcBorders/>
            <w:shd w:color="auto" w:fill="auto" w:val="clear"/>
            <w:vAlign w:val="bottom"/>
          </w:tcPr>
          <w:p>
            <w:pPr>
              <w:pStyle w:val="Normal"/>
              <w:spacing w:lineRule="auto" w:line="240"/>
              <w:jc w:val="center"/>
              <w:rPr/>
            </w:pPr>
            <w:r>
              <w:rPr/>
              <w:t>1570.42</w:t>
            </w:r>
          </w:p>
        </w:tc>
        <w:tc>
          <w:tcPr>
            <w:tcW w:w="2226" w:type="dxa"/>
            <w:gridSpan w:val="2"/>
            <w:tcBorders/>
            <w:shd w:color="auto" w:fill="auto" w:val="clear"/>
            <w:vAlign w:val="bottom"/>
          </w:tcPr>
          <w:p>
            <w:pPr>
              <w:pStyle w:val="Normal"/>
              <w:spacing w:lineRule="auto" w:line="240"/>
              <w:jc w:val="center"/>
              <w:rPr>
                <w:b/>
                <w:b/>
                <w:bCs/>
              </w:rPr>
            </w:pPr>
            <w:r>
              <w:rPr>
                <w:b/>
                <w:bCs/>
              </w:rPr>
              <w:t>1566.27</w:t>
            </w:r>
          </w:p>
        </w:tc>
      </w:tr>
      <w:tr>
        <w:trPr>
          <w:trHeight w:val="270" w:hRule="atLeast"/>
        </w:trPr>
        <w:tc>
          <w:tcPr>
            <w:tcW w:w="1806" w:type="dxa"/>
            <w:tcBorders/>
            <w:shd w:color="auto" w:fill="auto" w:val="clear"/>
          </w:tcPr>
          <w:p>
            <w:pPr>
              <w:pStyle w:val="Normal"/>
              <w:spacing w:lineRule="auto" w:line="240"/>
              <w:jc w:val="right"/>
              <w:rPr/>
            </w:pPr>
            <w:r>
              <w:rPr/>
            </w:r>
          </w:p>
        </w:tc>
        <w:tc>
          <w:tcPr>
            <w:tcW w:w="501" w:type="dxa"/>
            <w:tcBorders/>
            <w:shd w:color="auto" w:fill="auto" w:val="clear"/>
          </w:tcPr>
          <w:p>
            <w:pPr>
              <w:pStyle w:val="Normal"/>
              <w:spacing w:lineRule="auto" w:line="240"/>
              <w:jc w:val="right"/>
              <w:rPr/>
            </w:pPr>
            <w:r>
              <w:rPr/>
            </w:r>
          </w:p>
        </w:tc>
        <w:tc>
          <w:tcPr>
            <w:tcW w:w="2419" w:type="dxa"/>
            <w:gridSpan w:val="2"/>
            <w:tcBorders/>
            <w:shd w:color="auto" w:fill="auto" w:val="clear"/>
            <w:vAlign w:val="bottom"/>
          </w:tcPr>
          <w:p>
            <w:pPr>
              <w:pStyle w:val="Normal"/>
              <w:spacing w:lineRule="auto" w:line="240"/>
              <w:jc w:val="center"/>
              <w:rPr/>
            </w:pPr>
            <w:r>
              <w:rPr/>
            </w:r>
          </w:p>
        </w:tc>
        <w:tc>
          <w:tcPr>
            <w:tcW w:w="2519" w:type="dxa"/>
            <w:gridSpan w:val="2"/>
            <w:tcBorders/>
            <w:shd w:color="auto" w:fill="auto" w:val="clear"/>
            <w:vAlign w:val="bottom"/>
          </w:tcPr>
          <w:p>
            <w:pPr>
              <w:pStyle w:val="Normal"/>
              <w:spacing w:lineRule="auto" w:line="240"/>
              <w:jc w:val="center"/>
              <w:rPr/>
            </w:pPr>
            <w:r>
              <w:rPr/>
            </w:r>
          </w:p>
        </w:tc>
        <w:tc>
          <w:tcPr>
            <w:tcW w:w="2226" w:type="dxa"/>
            <w:gridSpan w:val="2"/>
            <w:tcBorders/>
            <w:shd w:color="auto" w:fill="auto" w:val="clear"/>
            <w:vAlign w:val="bottom"/>
          </w:tcPr>
          <w:p>
            <w:pPr>
              <w:pStyle w:val="Normal"/>
              <w:spacing w:lineRule="auto" w:line="240"/>
              <w:jc w:val="center"/>
              <w:rPr/>
            </w:pPr>
            <w:r>
              <w:rPr/>
            </w:r>
          </w:p>
        </w:tc>
      </w:tr>
      <w:tr>
        <w:trPr>
          <w:trHeight w:val="270" w:hRule="atLeast"/>
        </w:trPr>
        <w:tc>
          <w:tcPr>
            <w:tcW w:w="1806" w:type="dxa"/>
            <w:tcBorders/>
            <w:shd w:color="auto" w:fill="auto" w:val="clear"/>
          </w:tcPr>
          <w:p>
            <w:pPr>
              <w:pStyle w:val="Normal"/>
              <w:spacing w:lineRule="auto" w:line="240"/>
              <w:jc w:val="right"/>
              <w:rPr/>
            </w:pPr>
            <w:r>
              <w:rPr/>
              <w:t>Low Precision</w:t>
            </w:r>
          </w:p>
        </w:tc>
        <w:tc>
          <w:tcPr>
            <w:tcW w:w="501" w:type="dxa"/>
            <w:tcBorders/>
            <w:shd w:color="auto" w:fill="auto" w:val="clear"/>
          </w:tcPr>
          <w:p>
            <w:pPr>
              <w:pStyle w:val="Normal"/>
              <w:spacing w:lineRule="auto" w:line="240"/>
              <w:jc w:val="right"/>
              <w:rPr/>
            </w:pPr>
            <w:r>
              <w:rPr/>
              <w:t>1</w:t>
            </w:r>
          </w:p>
        </w:tc>
        <w:tc>
          <w:tcPr>
            <w:tcW w:w="2419" w:type="dxa"/>
            <w:gridSpan w:val="2"/>
            <w:tcBorders/>
            <w:shd w:color="auto" w:fill="auto" w:val="clear"/>
            <w:vAlign w:val="bottom"/>
          </w:tcPr>
          <w:p>
            <w:pPr>
              <w:pStyle w:val="Normal"/>
              <w:spacing w:lineRule="auto" w:line="240"/>
              <w:jc w:val="center"/>
              <w:rPr>
                <w:b/>
                <w:b/>
                <w:bCs/>
              </w:rPr>
            </w:pPr>
            <w:r>
              <w:rPr>
                <w:b/>
                <w:bCs/>
              </w:rPr>
              <w:t>885.60</w:t>
            </w:r>
          </w:p>
        </w:tc>
        <w:tc>
          <w:tcPr>
            <w:tcW w:w="2519" w:type="dxa"/>
            <w:gridSpan w:val="2"/>
            <w:tcBorders/>
            <w:shd w:color="auto" w:fill="auto" w:val="clear"/>
            <w:vAlign w:val="bottom"/>
          </w:tcPr>
          <w:p>
            <w:pPr>
              <w:pStyle w:val="Normal"/>
              <w:spacing w:lineRule="auto" w:line="240"/>
              <w:jc w:val="center"/>
              <w:rPr/>
            </w:pPr>
            <w:r>
              <w:rPr/>
              <w:t>886.72</w:t>
            </w:r>
          </w:p>
        </w:tc>
        <w:tc>
          <w:tcPr>
            <w:tcW w:w="2226" w:type="dxa"/>
            <w:gridSpan w:val="2"/>
            <w:tcBorders/>
            <w:shd w:color="auto" w:fill="auto" w:val="clear"/>
            <w:vAlign w:val="bottom"/>
          </w:tcPr>
          <w:p>
            <w:pPr>
              <w:pStyle w:val="Normal"/>
              <w:spacing w:lineRule="auto" w:line="240"/>
              <w:jc w:val="center"/>
              <w:rPr/>
            </w:pPr>
            <w:r>
              <w:rPr/>
              <w:t>892.04</w:t>
            </w:r>
          </w:p>
        </w:tc>
      </w:tr>
      <w:tr>
        <w:trPr>
          <w:trHeight w:val="270" w:hRule="atLeast"/>
        </w:trPr>
        <w:tc>
          <w:tcPr>
            <w:tcW w:w="1806" w:type="dxa"/>
            <w:tcBorders>
              <w:bottom w:val="single" w:sz="4" w:space="0" w:color="000000"/>
            </w:tcBorders>
            <w:shd w:color="auto" w:fill="auto" w:val="clear"/>
          </w:tcPr>
          <w:p>
            <w:pPr>
              <w:pStyle w:val="Normal"/>
              <w:spacing w:lineRule="auto" w:line="240"/>
              <w:jc w:val="right"/>
              <w:rPr/>
            </w:pPr>
            <w:r>
              <w:rPr/>
            </w:r>
          </w:p>
        </w:tc>
        <w:tc>
          <w:tcPr>
            <w:tcW w:w="501" w:type="dxa"/>
            <w:tcBorders>
              <w:bottom w:val="single" w:sz="4" w:space="0" w:color="000000"/>
            </w:tcBorders>
            <w:shd w:color="auto" w:fill="auto" w:val="clear"/>
          </w:tcPr>
          <w:p>
            <w:pPr>
              <w:pStyle w:val="Normal"/>
              <w:spacing w:lineRule="auto" w:line="240"/>
              <w:jc w:val="right"/>
              <w:rPr/>
            </w:pPr>
            <w:r>
              <w:rPr/>
              <w:t>13</w:t>
            </w:r>
          </w:p>
        </w:tc>
        <w:tc>
          <w:tcPr>
            <w:tcW w:w="2419" w:type="dxa"/>
            <w:gridSpan w:val="2"/>
            <w:tcBorders>
              <w:bottom w:val="single" w:sz="4" w:space="0" w:color="000000"/>
            </w:tcBorders>
            <w:shd w:color="auto" w:fill="auto" w:val="clear"/>
            <w:vAlign w:val="bottom"/>
          </w:tcPr>
          <w:p>
            <w:pPr>
              <w:pStyle w:val="Normal"/>
              <w:spacing w:lineRule="auto" w:line="240"/>
              <w:jc w:val="center"/>
              <w:rPr>
                <w:b/>
                <w:b/>
                <w:bCs/>
              </w:rPr>
            </w:pPr>
            <w:r>
              <w:rPr>
                <w:b/>
                <w:bCs/>
              </w:rPr>
              <w:t>1566.15</w:t>
            </w:r>
          </w:p>
        </w:tc>
        <w:tc>
          <w:tcPr>
            <w:tcW w:w="2519" w:type="dxa"/>
            <w:gridSpan w:val="2"/>
            <w:tcBorders>
              <w:bottom w:val="single" w:sz="4" w:space="0" w:color="000000"/>
            </w:tcBorders>
            <w:shd w:color="auto" w:fill="auto" w:val="clear"/>
            <w:vAlign w:val="bottom"/>
          </w:tcPr>
          <w:p>
            <w:pPr>
              <w:pStyle w:val="Normal"/>
              <w:spacing w:lineRule="auto" w:line="240"/>
              <w:jc w:val="center"/>
              <w:rPr/>
            </w:pPr>
            <w:r>
              <w:rPr/>
              <w:t>1573.21</w:t>
            </w:r>
          </w:p>
        </w:tc>
        <w:tc>
          <w:tcPr>
            <w:tcW w:w="2226" w:type="dxa"/>
            <w:gridSpan w:val="2"/>
            <w:tcBorders>
              <w:bottom w:val="single" w:sz="4" w:space="0" w:color="000000"/>
            </w:tcBorders>
            <w:shd w:color="auto" w:fill="auto" w:val="clear"/>
            <w:vAlign w:val="bottom"/>
          </w:tcPr>
          <w:p>
            <w:pPr>
              <w:pStyle w:val="Normal"/>
              <w:spacing w:lineRule="auto" w:line="240"/>
              <w:jc w:val="center"/>
              <w:rPr/>
            </w:pPr>
            <w:r>
              <w:rPr/>
              <w:t>1579.12</w:t>
            </w:r>
          </w:p>
        </w:tc>
      </w:tr>
    </w:tbl>
    <w:p>
      <w:pPr>
        <w:pStyle w:val="Normal"/>
        <w:rPr/>
      </w:pPr>
      <w:r>
        <w:rPr/>
        <w:t xml:space="preserve">Lowest BIC for each participant is indicated in boldface </w:t>
      </w:r>
    </w:p>
    <w:p>
      <w:pPr>
        <w:pStyle w:val="Normal"/>
        <w:ind w:firstLine="720"/>
        <w:rPr/>
      </w:pPr>
      <w:r>
        <w:rP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pPr>
        <w:pStyle w:val="Normal"/>
        <w:ind w:firstLine="720"/>
        <w:rPr/>
      </w:pPr>
      <w:r>
        <w:rPr/>
      </w:r>
    </w:p>
    <w:tbl>
      <w:tblPr>
        <w:tblStyle w:val="TableGrid"/>
        <w:tblW w:w="9514" w:type="dxa"/>
        <w:jc w:val="left"/>
        <w:tblInd w:w="0" w:type="dxa"/>
        <w:tblCellMar>
          <w:top w:w="0" w:type="dxa"/>
          <w:left w:w="108" w:type="dxa"/>
          <w:bottom w:w="0" w:type="dxa"/>
          <w:right w:w="108" w:type="dxa"/>
        </w:tblCellMar>
        <w:tblLook w:val="04a0" w:noVBand="1" w:noHBand="0" w:lastColumn="0" w:firstColumn="1" w:lastRow="0" w:firstRow="1"/>
      </w:tblPr>
      <w:tblGrid>
        <w:gridCol w:w="3171"/>
        <w:gridCol w:w="3481"/>
        <w:gridCol w:w="2862"/>
      </w:tblGrid>
      <w:tr>
        <w:trPr>
          <w:trHeight w:val="350" w:hRule="atLeast"/>
        </w:trPr>
        <w:tc>
          <w:tcPr>
            <w:tcW w:w="9514" w:type="dxa"/>
            <w:gridSpan w:val="3"/>
            <w:tcBorders>
              <w:top w:val="nil"/>
              <w:left w:val="nil"/>
              <w:right w:val="nil"/>
            </w:tcBorders>
            <w:shd w:fill="auto" w:val="clear"/>
            <w:vAlign w:val="center"/>
          </w:tcPr>
          <w:p>
            <w:pPr>
              <w:pStyle w:val="Normal"/>
              <w:spacing w:lineRule="auto" w:line="240"/>
              <w:rPr/>
            </w:pPr>
            <w:r>
              <w:rPr/>
              <w:t>Table 9</w:t>
              <w:br/>
              <w:t>Number of Participants Better Fit and Summed BICs for each Model</w:t>
            </w:r>
          </w:p>
        </w:tc>
      </w:tr>
      <w:tr>
        <w:trPr>
          <w:trHeight w:val="350" w:hRule="atLeast"/>
        </w:trPr>
        <w:tc>
          <w:tcPr>
            <w:tcW w:w="3171" w:type="dxa"/>
            <w:tcBorders>
              <w:left w:val="nil"/>
              <w:right w:val="nil"/>
            </w:tcBorders>
            <w:shd w:fill="auto" w:val="clear"/>
            <w:vAlign w:val="center"/>
          </w:tcPr>
          <w:p>
            <w:pPr>
              <w:pStyle w:val="Normal"/>
              <w:spacing w:lineRule="auto" w:line="240"/>
              <w:jc w:val="center"/>
              <w:rPr/>
            </w:pPr>
            <w:r>
              <w:rPr/>
              <w:t>Model Name</w:t>
            </w:r>
          </w:p>
        </w:tc>
        <w:tc>
          <w:tcPr>
            <w:tcW w:w="3481" w:type="dxa"/>
            <w:tcBorders>
              <w:left w:val="nil"/>
              <w:right w:val="nil"/>
            </w:tcBorders>
            <w:shd w:fill="auto" w:val="clear"/>
            <w:vAlign w:val="center"/>
          </w:tcPr>
          <w:p>
            <w:pPr>
              <w:pStyle w:val="Normal"/>
              <w:spacing w:lineRule="auto" w:line="240"/>
              <w:jc w:val="center"/>
              <w:rPr/>
            </w:pPr>
            <w:r>
              <w:rPr/>
              <w:t>Number of Participants Better Fit</w:t>
            </w:r>
          </w:p>
        </w:tc>
        <w:tc>
          <w:tcPr>
            <w:tcW w:w="2862" w:type="dxa"/>
            <w:tcBorders>
              <w:left w:val="nil"/>
              <w:right w:val="nil"/>
            </w:tcBorders>
            <w:shd w:fill="auto" w:val="clear"/>
            <w:vAlign w:val="center"/>
          </w:tcPr>
          <w:p>
            <w:pPr>
              <w:pStyle w:val="Normal"/>
              <w:spacing w:lineRule="auto" w:line="240"/>
              <w:jc w:val="center"/>
              <w:rPr/>
            </w:pPr>
            <w:r>
              <w:rPr/>
              <w:t>Summed BIC</w:t>
            </w:r>
          </w:p>
        </w:tc>
      </w:tr>
      <w:tr>
        <w:trPr>
          <w:trHeight w:val="463" w:hRule="atLeast"/>
        </w:trPr>
        <w:tc>
          <w:tcPr>
            <w:tcW w:w="3171" w:type="dxa"/>
            <w:tcBorders>
              <w:left w:val="nil"/>
              <w:bottom w:val="nil"/>
              <w:right w:val="nil"/>
            </w:tcBorders>
            <w:shd w:fill="auto" w:val="clear"/>
            <w:vAlign w:val="center"/>
          </w:tcPr>
          <w:p>
            <w:pPr>
              <w:pStyle w:val="Normal"/>
              <w:spacing w:lineRule="auto" w:line="240"/>
              <w:jc w:val="center"/>
              <w:rPr/>
            </w:pPr>
            <w:r>
              <w:rPr/>
              <w:t>Variable-Precision</w:t>
            </w:r>
          </w:p>
        </w:tc>
        <w:tc>
          <w:tcPr>
            <w:tcW w:w="3481" w:type="dxa"/>
            <w:tcBorders>
              <w:left w:val="nil"/>
              <w:bottom w:val="nil"/>
              <w:right w:val="nil"/>
            </w:tcBorders>
            <w:shd w:fill="auto" w:val="clear"/>
            <w:vAlign w:val="center"/>
          </w:tcPr>
          <w:p>
            <w:pPr>
              <w:pStyle w:val="Normal"/>
              <w:spacing w:lineRule="auto" w:line="240"/>
              <w:jc w:val="center"/>
              <w:rPr/>
            </w:pPr>
            <w:r>
              <w:rPr/>
              <w:t>5</w:t>
            </w:r>
          </w:p>
        </w:tc>
        <w:tc>
          <w:tcPr>
            <w:tcW w:w="2862" w:type="dxa"/>
            <w:tcBorders>
              <w:left w:val="nil"/>
              <w:bottom w:val="nil"/>
              <w:right w:val="nil"/>
            </w:tcBorders>
            <w:shd w:fill="auto" w:val="clear"/>
            <w:vAlign w:val="center"/>
          </w:tcPr>
          <w:p>
            <w:pPr>
              <w:pStyle w:val="Normal"/>
              <w:spacing w:lineRule="auto" w:line="240"/>
              <w:jc w:val="center"/>
              <w:rPr/>
            </w:pPr>
            <w:r>
              <w:rPr>
                <w:rFonts w:eastAsia="Times New Roman"/>
                <w:color w:val="000000"/>
              </w:rPr>
              <w:t>35143.57</w:t>
            </w:r>
          </w:p>
        </w:tc>
      </w:tr>
      <w:tr>
        <w:trPr>
          <w:trHeight w:val="473" w:hRule="atLeast"/>
        </w:trPr>
        <w:tc>
          <w:tcPr>
            <w:tcW w:w="3171" w:type="dxa"/>
            <w:tcBorders>
              <w:top w:val="nil"/>
              <w:left w:val="nil"/>
              <w:bottom w:val="nil"/>
              <w:right w:val="nil"/>
            </w:tcBorders>
            <w:shd w:fill="auto" w:val="clear"/>
            <w:vAlign w:val="center"/>
          </w:tcPr>
          <w:p>
            <w:pPr>
              <w:pStyle w:val="Normal"/>
              <w:spacing w:lineRule="auto" w:line="240"/>
              <w:jc w:val="center"/>
              <w:rPr/>
            </w:pPr>
            <w:r>
              <w:rPr/>
              <w:t>Threshold</w:t>
            </w:r>
          </w:p>
        </w:tc>
        <w:tc>
          <w:tcPr>
            <w:tcW w:w="3481" w:type="dxa"/>
            <w:tcBorders>
              <w:top w:val="nil"/>
              <w:left w:val="nil"/>
              <w:bottom w:val="nil"/>
              <w:right w:val="nil"/>
            </w:tcBorders>
            <w:shd w:fill="auto" w:val="clear"/>
            <w:vAlign w:val="center"/>
          </w:tcPr>
          <w:p>
            <w:pPr>
              <w:pStyle w:val="Normal"/>
              <w:spacing w:lineRule="auto" w:line="240"/>
              <w:jc w:val="center"/>
              <w:rPr/>
            </w:pPr>
            <w:r>
              <w:rPr/>
              <w:t>10</w:t>
            </w:r>
          </w:p>
        </w:tc>
        <w:tc>
          <w:tcPr>
            <w:tcW w:w="2862" w:type="dxa"/>
            <w:tcBorders>
              <w:top w:val="nil"/>
              <w:left w:val="nil"/>
              <w:bottom w:val="nil"/>
              <w:right w:val="nil"/>
            </w:tcBorders>
            <w:shd w:fill="auto" w:val="clear"/>
            <w:vAlign w:val="center"/>
          </w:tcPr>
          <w:p>
            <w:pPr>
              <w:pStyle w:val="Normal"/>
              <w:spacing w:lineRule="auto" w:line="240"/>
              <w:jc w:val="center"/>
              <w:rPr/>
            </w:pPr>
            <w:r>
              <w:rPr>
                <w:rFonts w:eastAsia="Times New Roman"/>
                <w:color w:val="000000"/>
              </w:rPr>
              <w:t>31972.94</w:t>
            </w:r>
          </w:p>
        </w:tc>
      </w:tr>
      <w:tr>
        <w:trPr>
          <w:trHeight w:val="473" w:hRule="atLeast"/>
        </w:trPr>
        <w:tc>
          <w:tcPr>
            <w:tcW w:w="3171" w:type="dxa"/>
            <w:tcBorders>
              <w:top w:val="nil"/>
              <w:left w:val="nil"/>
              <w:right w:val="nil"/>
            </w:tcBorders>
            <w:shd w:fill="auto" w:val="clear"/>
            <w:vAlign w:val="center"/>
          </w:tcPr>
          <w:p>
            <w:pPr>
              <w:pStyle w:val="Normal"/>
              <w:spacing w:lineRule="auto" w:line="240"/>
              <w:jc w:val="center"/>
              <w:rPr/>
            </w:pPr>
            <w:r>
              <w:rPr/>
              <w:t>Hybrid</w:t>
            </w:r>
          </w:p>
        </w:tc>
        <w:tc>
          <w:tcPr>
            <w:tcW w:w="3481" w:type="dxa"/>
            <w:tcBorders>
              <w:top w:val="nil"/>
              <w:left w:val="nil"/>
              <w:right w:val="nil"/>
            </w:tcBorders>
            <w:shd w:fill="auto" w:val="clear"/>
            <w:vAlign w:val="center"/>
          </w:tcPr>
          <w:p>
            <w:pPr>
              <w:pStyle w:val="Normal"/>
              <w:spacing w:lineRule="auto" w:line="240"/>
              <w:jc w:val="center"/>
              <w:rPr/>
            </w:pPr>
            <w:r>
              <w:rPr/>
              <w:t>4</w:t>
            </w:r>
          </w:p>
        </w:tc>
        <w:tc>
          <w:tcPr>
            <w:tcW w:w="2862" w:type="dxa"/>
            <w:tcBorders>
              <w:top w:val="nil"/>
              <w:left w:val="nil"/>
              <w:right w:val="nil"/>
            </w:tcBorders>
            <w:shd w:fill="auto" w:val="clear"/>
            <w:vAlign w:val="center"/>
          </w:tcPr>
          <w:p>
            <w:pPr>
              <w:pStyle w:val="Normal"/>
              <w:spacing w:lineRule="auto" w:line="240"/>
              <w:jc w:val="center"/>
              <w:rPr/>
            </w:pPr>
            <w:r>
              <w:rPr>
                <w:rFonts w:eastAsia="Times New Roman"/>
                <w:color w:val="000000"/>
              </w:rPr>
              <w:t>32052.69</w:t>
            </w:r>
          </w:p>
        </w:tc>
      </w:tr>
    </w:tbl>
    <w:p>
      <w:pPr>
        <w:pStyle w:val="Normal"/>
        <w:rPr/>
      </w:pPr>
      <w:r>
        <w:rPr/>
      </w:r>
    </w:p>
    <w:p>
      <w:pPr>
        <w:pStyle w:val="Normal"/>
        <w:ind w:firstLine="720"/>
        <w:rPr/>
      </w:pPr>
      <w:r>
        <w:rPr/>
        <w:t>Of the five out of nineteen participants whose data was best fit by the variable-precision model, two participants (1 and 13) are in the low precision group, meaning their response error distributions</w:t>
      </w:r>
      <w:ins w:id="273" w:author="Unknown Author" w:date="2020-04-15T11:27:11Z">
        <w:r>
          <w:rPr/>
          <w:t xml:space="preserve"> </w:t>
        </w:r>
      </w:ins>
      <w:ins w:id="274" w:author="Unknown Author" w:date="2020-04-15T11:27:11Z">
        <w:r>
          <w:rPr/>
          <w:t>as assessed by the Rayleigh test</w:t>
        </w:r>
      </w:ins>
      <w:r>
        <w:rPr/>
        <w:t xml:space="preserve"> did not significantly deviate from uniformity, while the remaining three participants (9, 15, and 17) appear close to uniformity as well, as shown in Figure 5, although the hypothesis of uniform responding was rejected</w:t>
      </w:r>
      <w:del w:id="275" w:author="Unknown Author" w:date="2020-04-15T11:27:44Z">
        <w:r>
          <w:rPr/>
          <w:delText xml:space="preserve"> by the Rayleigh test</w:delText>
        </w:r>
      </w:del>
      <w:r>
        <w:rPr/>
        <w:t xml:space="preserve">, indicating that these participants are not responding successfully to the source judgement task. Additionally, the difference in BIC for the variable-precision and threshold and hybrid models was small variable-precision (ΔBIC = 8.00), indicating that the evidence for the variable-precision model for participants for whom it was the preferred model was comparatively weak. In contrast, the evidence for the threshold model (ΔBIC = 229.33) and the hybrid model (ΔBIC = 227.53) for whom those models were the preferred model was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pPr>
        <w:pStyle w:val="Normal"/>
        <w:ind w:firstLine="720"/>
        <w:rPr/>
      </w:pPr>
      <w:r>
        <w:rPr/>
      </w:r>
    </w:p>
    <w:p>
      <w:pPr>
        <w:pStyle w:val="Normal"/>
        <w:keepNext w:val="true"/>
        <w:rPr/>
      </w:pPr>
      <w:commentRangeStart w:id="13"/>
      <w:r>
        <w:rPr/>
        <w:drawing>
          <wp:inline distT="0" distB="0" distL="0" distR="0">
            <wp:extent cx="5920740" cy="369760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920740" cy="3697605"/>
                    </a:xfrm>
                    <a:prstGeom prst="rect">
                      <a:avLst/>
                    </a:prstGeom>
                  </pic:spPr>
                </pic:pic>
              </a:graphicData>
            </a:graphic>
          </wp:inline>
        </w:drawing>
      </w:r>
      <w:r>
        <w:rPr/>
      </w:r>
      <w:commentRangeEnd w:id="13"/>
      <w:r>
        <w:commentReference w:id="13"/>
      </w:r>
      <w:r>
        <w:rPr/>
        <w:commentReference w:id="14"/>
      </w:r>
    </w:p>
    <w:p>
      <w:pPr>
        <w:pStyle w:val="Caption1"/>
        <w:rPr>
          <w:i w:val="false"/>
          <w:i w:val="false"/>
          <w:iCs w:val="false"/>
          <w:color w:val="auto"/>
          <w:sz w:val="24"/>
          <w:szCs w:val="24"/>
        </w:rPr>
      </w:pPr>
      <w:r>
        <w:rPr>
          <w:i w:val="false"/>
          <w:iCs w:val="false"/>
          <w:color w:val="auto"/>
          <w:sz w:val="24"/>
          <w:szCs w:val="24"/>
        </w:rPr>
        <w:t xml:space="preserve">Figure 5. Fits of each of the three models to response time data for each participant, presented in histograms. </w:t>
      </w:r>
    </w:p>
    <w:p>
      <w:pPr>
        <w:pStyle w:val="Normal"/>
        <w:rPr/>
      </w:pPr>
      <w:r>
        <w:rPr/>
      </w:r>
    </w:p>
    <w:p>
      <w:pPr>
        <w:pStyle w:val="Normal"/>
        <w:keepNext w:val="true"/>
        <w:rPr/>
      </w:pPr>
      <w:r>
        <w:rPr/>
        <w:drawing>
          <wp:inline distT="0" distB="0" distL="0" distR="0">
            <wp:extent cx="5914390" cy="3708400"/>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914390" cy="3708400"/>
                    </a:xfrm>
                    <a:prstGeom prst="rect">
                      <a:avLst/>
                    </a:prstGeom>
                  </pic:spPr>
                </pic:pic>
              </a:graphicData>
            </a:graphic>
          </wp:inline>
        </w:drawing>
      </w:r>
    </w:p>
    <w:p>
      <w:pPr>
        <w:pStyle w:val="Caption1"/>
        <w:rPr>
          <w:i w:val="false"/>
          <w:i w:val="false"/>
          <w:iCs w:val="false"/>
          <w:color w:val="auto"/>
          <w:sz w:val="24"/>
          <w:szCs w:val="24"/>
        </w:rPr>
      </w:pPr>
      <w:r>
        <w:rPr>
          <w:i w:val="false"/>
          <w:iCs w:val="false"/>
          <w:color w:val="auto"/>
          <w:sz w:val="24"/>
          <w:szCs w:val="24"/>
        </w:rPr>
        <w:t xml:space="preserve">Figure 6. Fits of each of the three models to response error data for each participant, presented in histograms. </w:t>
      </w:r>
    </w:p>
    <w:p>
      <w:pPr>
        <w:pStyle w:val="Caption1"/>
        <w:rPr>
          <w:color w:val="auto"/>
        </w:rPr>
      </w:pPr>
      <w:r>
        <w:rPr>
          <w:color w:val="auto"/>
        </w:rPr>
      </w:r>
    </w:p>
    <w:p>
      <w:pPr>
        <w:pStyle w:val="Normal"/>
        <w:keepNext w:val="true"/>
        <w:ind w:firstLine="720"/>
        <w:rPr/>
      </w:pPr>
      <w:r>
        <w:rPr/>
        <w:t xml:space="preserve">A more detailed characterization of the performance of the model and points at which it misses the data is shown in Figure 7, which shows joint distributions of errors and RT in the form of a bivariate quantile plot. In these plots, quantiles of the distribution of errors are plotted on the </w:t>
      </w:r>
      <w:r>
        <w:rPr>
          <w:i/>
          <w:iCs/>
        </w:rPr>
        <w:t>x-</w:t>
      </w:r>
      <w:r>
        <w:rPr/>
        <w:t xml:space="preserve">axis and quantiles of the distribution RT are plotted on the </w:t>
      </w:r>
      <w:r>
        <w:rPr>
          <w:i/>
          <w:iCs/>
        </w:rPr>
        <w:t>y-</w:t>
      </w:r>
      <w:r>
        <w:rPr/>
        <w:t xml:space="preserve">axis. </w:t>
      </w:r>
      <w:ins w:id="276" w:author="Jason Zhou" w:date="2020-04-10T14:51:00Z">
        <w:commentRangeStart w:id="15"/>
        <w:r>
          <w:rPr/>
          <w:t xml:space="preserve">The points represent the observed data, </w:t>
        </w:r>
      </w:ins>
      <w:ins w:id="277" w:author="Jason Zhou" w:date="2020-04-10T15:00:00Z">
        <w:r>
          <w:rPr/>
          <w:t xml:space="preserve">such that the leftmost points for each participant represents the value of response error that </w:t>
        </w:r>
      </w:ins>
      <w:ins w:id="278" w:author="Jason Zhou" w:date="2020-04-10T15:01:00Z">
        <w:r>
          <w:rPr/>
          <w:t xml:space="preserve">a proportion of responses fall under (with four quantiles, these represent the </w:t>
        </w:r>
      </w:ins>
      <w:ins w:id="279" w:author="Jason Zhou" w:date="2020-04-10T15:02:00Z">
        <w:r>
          <w:rPr/>
          <w:t>0.25, 0.50, 0.75, and 1.0 quantiles). The bottom-most row of points are the response error quantiles for the f</w:t>
        </w:r>
      </w:ins>
      <w:ins w:id="280" w:author="Jason Zhou" w:date="2020-04-10T15:03:00Z">
        <w:r>
          <w:rPr/>
          <w:t xml:space="preserve">astest 10% of responses (RTs below the 0.1 quantile for RTs), </w:t>
        </w:r>
      </w:ins>
      <w:ins w:id="281" w:author="Jason Zhou" w:date="2020-04-10T15:04:00Z">
        <w:r>
          <w:rPr/>
          <w:t>and so on for the 0.5 and 0.9 RT quantiles.</w:t>
        </w:r>
      </w:ins>
      <w:commentRangeEnd w:id="15"/>
      <w:r>
        <w:commentReference w:id="15"/>
      </w:r>
      <w:r>
        <w:rPr/>
      </w:r>
    </w:p>
    <w:p>
      <w:pPr>
        <w:pStyle w:val="Normal"/>
        <w:keepNext w:val="true"/>
        <w:ind w:firstLine="720"/>
        <w:rPr/>
      </w:pPr>
      <w:del w:id="282" w:author="Jason Zhou" w:date="2020-04-10T15:04:00Z">
        <w:r>
          <w:rPr/>
          <w:delText xml:space="preserve"> </w:delText>
        </w:r>
      </w:del>
      <w:commentRangeStart w:id="16"/>
      <w:r>
        <w:rPr/>
        <w:t>The</w:t>
      </w:r>
      <w:r>
        <w:rPr/>
      </w:r>
      <w:commentRangeEnd w:id="16"/>
      <w:r>
        <w:commentReference w:id="16"/>
      </w:r>
      <w:r>
        <w:rPr/>
        <w:t xml:space="preserve"> variable-precision model is able to predict a leptokurtic </w:t>
      </w:r>
      <w:del w:id="283" w:author="Jason Zhou" w:date="2020-04-10T15:04:00Z">
        <w:r>
          <w:rPr/>
          <w:delText>shape</w:delText>
        </w:r>
      </w:del>
      <w:del w:id="284" w:author="Jason Zhou" w:date="2020-04-10T15:05:00Z">
        <w:r>
          <w:rPr/>
          <w:delText xml:space="preserve"> </w:delText>
        </w:r>
      </w:del>
      <w:ins w:id="285" w:author="Jason Zhou" w:date="2020-04-10T15:05:00Z">
        <w:r>
          <w:rPr/>
          <w:t xml:space="preserve"> response error distribution, </w:t>
        </w:r>
      </w:ins>
      <w:r>
        <w:rPr/>
        <w:t>similar to the threshold models through trial-to-trial variability in drift norm, producing a slow error pattern. This slow error pattern would be reflected in the joint quantile plot with RT quantiles becoming gradually slower as response error increases.</w:t>
      </w:r>
      <w:ins w:id="286" w:author="Unknown Author" w:date="2020-03-30T15:15:00Z">
        <w:r>
          <w:rPr/>
          <w:t xml:space="preserve"> </w:t>
        </w:r>
      </w:ins>
      <w:ins w:id="287" w:author="Jason Zhou" w:date="2020-04-10T15:05:00Z">
        <w:r>
          <w:rPr/>
          <w:t>Visually, this would appear as a bowing upwards as the bivariate quantile plot moves from left to right</w:t>
        </w:r>
      </w:ins>
      <w:ins w:id="288" w:author="Unknown Author" w:date="2020-04-15T11:30:10Z">
        <w:r>
          <w:rPr/>
          <w:t xml:space="preserve"> </w:t>
        </w:r>
      </w:ins>
      <w:ins w:id="289" w:author="Unknown Author" w:date="2020-04-15T11:30:10Z">
        <w:r>
          <w:rPr/>
          <w:t xml:space="preserve">(cf. the slow errors in Figures 6 and 10 of Smith et al., 2020) </w:t>
        </w:r>
      </w:ins>
      <w:ins w:id="290" w:author="Jason Zhou" w:date="2020-04-10T15:06:00Z">
        <w:r>
          <w:rPr/>
          <w:t>.</w:t>
        </w:r>
      </w:ins>
      <w:r>
        <w:rPr/>
        <w:t xml:space="preserve"> However, the data </w:t>
      </w:r>
      <w:ins w:id="291" w:author="Unknown Author" w:date="2020-04-15T11:31:22Z">
        <w:r>
          <w:rPr/>
          <w:t xml:space="preserve">do </w:t>
        </w:r>
      </w:ins>
      <w:del w:id="292" w:author="Unknown Author" w:date="2020-04-15T11:31:24Z">
        <w:r>
          <w:rPr/>
          <w:delText>does</w:delText>
        </w:r>
      </w:del>
      <w:r>
        <w:rPr/>
        <w:t xml:space="preserve"> not systematically exhibit this pattern across participants, </w:t>
      </w:r>
      <w:ins w:id="293" w:author="Jason Zhou" w:date="2020-04-10T15:08:00Z">
        <w:r>
          <w:rPr/>
          <w:t xml:space="preserve">particularly in the 0.1 and 0.5 RT quantiles, </w:t>
        </w:r>
      </w:ins>
      <w:r>
        <w:rPr/>
        <w:t>and so jointly fitting response error and RT constrains the ability of the variable-precision model to produce leptokurtic distribution</w:t>
      </w:r>
      <w:ins w:id="294" w:author="Unknown Author" w:date="2020-04-15T11:31:39Z">
        <w:r>
          <w:rPr/>
          <w:t>s</w:t>
        </w:r>
      </w:ins>
      <w:r>
        <w:rPr/>
        <w:t xml:space="preserve"> of response error. </w:t>
      </w:r>
      <w:ins w:id="295" w:author="Jason Zhou" w:date="2020-04-10T15:07:00Z">
        <w:r>
          <w:rPr/>
          <w:t xml:space="preserve">In contrast, the </w:t>
        </w:r>
      </w:ins>
      <w:ins w:id="296" w:author="Jason Zhou" w:date="2020-04-10T15:26:00Z">
        <w:r>
          <w:rPr/>
          <w:t xml:space="preserve">hybrid model does not necessarily rely on </w:t>
        </w:r>
      </w:ins>
      <w:ins w:id="297" w:author="Jason Zhou" w:date="2020-04-10T15:27:00Z">
        <w:r>
          <w:rPr/>
          <w:t xml:space="preserve">trial-to-trial variability in drift norm to capture the shape of the distribution of response error, and can instead </w:t>
        </w:r>
      </w:ins>
      <w:ins w:id="298" w:author="Jason Zhou" w:date="2020-04-10T15:28:00Z">
        <w:r>
          <w:rPr/>
          <w:t xml:space="preserve">produce a leptokurtic shape through the mixture of above-threshold and sub-threshold </w:t>
        </w:r>
      </w:ins>
      <w:ins w:id="299" w:author="Jason Zhou" w:date="2020-04-10T15:29:00Z">
        <w:r>
          <w:rPr/>
          <w:t>zero-drift responding</w:t>
        </w:r>
      </w:ins>
      <w:ins w:id="300" w:author="Jason Zhou" w:date="2020-04-10T15:32:00Z">
        <w:r>
          <w:rPr/>
          <w:t>, while the threshold model relies only on the latter. Bo</w:t>
        </w:r>
      </w:ins>
      <w:ins w:id="301" w:author="Jason Zhou" w:date="2020-04-10T15:33:00Z">
        <w:r>
          <w:rPr/>
          <w:t xml:space="preserve">th the hybrid and threshold models are therefore </w:t>
        </w:r>
      </w:ins>
      <w:ins w:id="302" w:author="Jason Zhou" w:date="2020-04-10T15:34:00Z">
        <w:r>
          <w:rPr/>
          <w:t xml:space="preserve">more </w:t>
        </w:r>
      </w:ins>
      <w:ins w:id="303" w:author="Jason Zhou" w:date="2020-04-10T15:34:00Z">
        <w:commentRangeStart w:id="17"/>
        <w:r>
          <w:rPr/>
          <w:t>flexible than the variable-precision model in that they can mix RTs from both processes.</w:t>
        </w:r>
      </w:ins>
      <w:commentRangeEnd w:id="17"/>
      <w:r>
        <w:commentReference w:id="17"/>
      </w:r>
      <w:r>
        <w:rPr/>
      </w:r>
    </w:p>
    <w:p>
      <w:pPr>
        <w:pStyle w:val="Normal"/>
        <w:ind w:firstLine="720"/>
        <w:rPr/>
      </w:pPr>
      <w:r>
        <w:rPr/>
        <w:drawing>
          <wp:inline distT="0" distB="0" distL="0" distR="0">
            <wp:extent cx="6046470" cy="599884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6046470" cy="5998845"/>
                    </a:xfrm>
                    <a:prstGeom prst="rect">
                      <a:avLst/>
                    </a:prstGeom>
                  </pic:spPr>
                </pic:pic>
              </a:graphicData>
            </a:graphic>
          </wp:inline>
        </w:drawing>
      </w:r>
    </w:p>
    <w:p>
      <w:pPr>
        <w:pStyle w:val="Caption1"/>
        <w:rPr>
          <w:i w:val="false"/>
          <w:i w:val="false"/>
          <w:iCs w:val="false"/>
          <w:color w:val="auto"/>
          <w:sz w:val="24"/>
          <w:szCs w:val="24"/>
        </w:rPr>
      </w:pPr>
      <w:r>
        <w:rPr>
          <w:i w:val="false"/>
          <w:iCs w:val="false"/>
          <w:color w:val="auto"/>
          <w:sz w:val="24"/>
          <w:szCs w:val="24"/>
        </w:rPr>
        <w:t>Figu</w:t>
      </w:r>
      <w:commentRangeStart w:id="18"/>
      <w:r>
        <w:rPr>
          <w:i w:val="false"/>
          <w:iCs w:val="false"/>
          <w:color w:val="auto"/>
          <w:sz w:val="24"/>
          <w:szCs w:val="24"/>
        </w:rPr>
        <w:t>re 7. Fits of each of the three models to joint response error and RT quantiles for each participant. Points represent data quantiles, while lines represent the variable-precision (dashed), threshold (solid) and hybrid (dot-dash) diffusion models.</w:t>
      </w:r>
    </w:p>
    <w:p>
      <w:pPr>
        <w:pStyle w:val="Normal"/>
        <w:rPr/>
      </w:pPr>
      <w:commentRangeEnd w:id="18"/>
      <w:r>
        <w:commentReference w:id="18"/>
      </w:r>
      <w:r>
        <w:rPr/>
      </w:r>
    </w:p>
    <w:p>
      <w:pPr>
        <w:pStyle w:val="Normal"/>
        <w:rPr/>
      </w:pPr>
      <w:r>
        <w:rPr/>
        <w:tab/>
        <w:t>Two qualifications are worth note in considering the data presented. Firstly, t</w:t>
      </w:r>
      <w:r>
        <w:rPr>
          <w:color w:val="222222"/>
          <w:highlight w:val="white"/>
        </w:rPr>
        <w:t>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all of the other model parameters the same. The mixture model successfully captured the bimodality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w:t>
      </w:r>
      <w:ins w:id="304" w:author="Unknown Author" w:date="2020-03-30T15:21:00Z">
        <w:r>
          <w:rPr>
            <w:color w:val="222222"/>
            <w:highlight w:val="white"/>
          </w:rPr>
          <w:t xml:space="preserve"> </w:t>
        </w:r>
      </w:ins>
    </w:p>
    <w:p>
      <w:pPr>
        <w:pStyle w:val="Normal"/>
        <w:rPr/>
      </w:pPr>
      <w:r>
        <w:rPr>
          <w:color w:val="222222"/>
          <w:highlight w:val="white"/>
        </w:rPr>
        <w:tab/>
      </w:r>
      <w:commentRangeStart w:id="19"/>
      <w:r>
        <w:rPr>
          <w:color w:val="222222"/>
          <w:highlight w:val="white"/>
        </w:rPr>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ins w:id="305" w:author="Unknown Author" w:date="2020-04-15T11:36:17Z">
        <w:r>
          <w:rPr>
            <w:color w:val="222222"/>
            <w:highlight w:val="white"/>
          </w:rPr>
          <w:t xml:space="preserve"> </w:t>
        </w:r>
      </w:ins>
      <w:ins w:id="306" w:author="Unknown Author" w:date="2020-04-15T11:36:17Z">
        <w:r>
          <w:rPr>
            <w:color w:val="222222"/>
            <w:highlight w:val="white"/>
          </w:rPr>
          <w:t>[OK, your call.]</w:t>
        </w:r>
      </w:ins>
      <w:commentRangeEnd w:id="19"/>
      <w:r>
        <w:commentReference w:id="19"/>
      </w:r>
      <w:r>
        <w:rPr>
          <w:color w:val="222222"/>
          <w:highlight w:val="white"/>
        </w:rPr>
      </w:r>
    </w:p>
    <w:p>
      <w:pPr>
        <w:pStyle w:val="Normal"/>
        <w:ind w:firstLine="720"/>
        <w:rPr/>
      </w:pPr>
      <w:r>
        <w:rPr/>
        <w:t>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across-trial variability drift rate does not appear to translate into any systematic advantage in fit across participants as compared to a model in which the drift rate is fixed. For the four out of 19 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pPr>
        <w:pStyle w:val="Normal"/>
        <w:rPr/>
      </w:pPr>
      <w:r>
        <w:rPr/>
      </w:r>
    </w:p>
    <w:tbl>
      <w:tblPr>
        <w:tblW w:w="9351" w:type="dxa"/>
        <w:jc w:val="left"/>
        <w:tblInd w:w="0" w:type="dxa"/>
        <w:tblCellMar>
          <w:top w:w="0" w:type="dxa"/>
          <w:left w:w="108" w:type="dxa"/>
          <w:bottom w:w="0" w:type="dxa"/>
          <w:right w:w="108" w:type="dxa"/>
        </w:tblCellMar>
        <w:tblLook w:val="04a0" w:noVBand="1" w:noHBand="0" w:lastColumn="0" w:firstColumn="1" w:lastRow="0" w:firstRow="1"/>
      </w:tblPr>
      <w:tblGrid>
        <w:gridCol w:w="1804"/>
        <w:gridCol w:w="1090"/>
        <w:gridCol w:w="1091"/>
        <w:gridCol w:w="1091"/>
        <w:gridCol w:w="1090"/>
        <w:gridCol w:w="958"/>
        <w:gridCol w:w="1113"/>
        <w:gridCol w:w="1113"/>
      </w:tblGrid>
      <w:tr>
        <w:trPr>
          <w:trHeight w:val="371" w:hRule="atLeast"/>
        </w:trPr>
        <w:tc>
          <w:tcPr>
            <w:tcW w:w="9350" w:type="dxa"/>
            <w:gridSpan w:val="8"/>
            <w:tcBorders>
              <w:bottom w:val="single" w:sz="4" w:space="0" w:color="000000"/>
            </w:tcBorders>
            <w:shd w:color="auto" w:fill="auto" w:val="clear"/>
            <w:vAlign w:val="bottom"/>
          </w:tcPr>
          <w:p>
            <w:pPr>
              <w:pStyle w:val="Normal"/>
              <w:spacing w:lineRule="auto" w:line="240"/>
              <w:rPr>
                <w:iCs/>
              </w:rPr>
            </w:pPr>
            <w:r>
              <w:rPr>
                <w:iCs/>
              </w:rPr>
              <w:t>Table 9</w:t>
            </w:r>
          </w:p>
          <w:p>
            <w:pPr>
              <w:pStyle w:val="Normal"/>
              <w:spacing w:lineRule="auto" w:line="240"/>
              <w:rPr>
                <w:i/>
                <w:i/>
              </w:rPr>
            </w:pPr>
            <w:r>
              <w:rPr>
                <w:i/>
              </w:rPr>
              <w:t>Mean Parameter Values Across Participants for Circular Diffusion Models</w:t>
            </w:r>
          </w:p>
        </w:tc>
      </w:tr>
      <w:tr>
        <w:trPr>
          <w:trHeight w:val="371" w:hRule="atLeast"/>
        </w:trPr>
        <w:tc>
          <w:tcPr>
            <w:tcW w:w="1804" w:type="dxa"/>
            <w:tcBorders>
              <w:bottom w:val="single" w:sz="4" w:space="0" w:color="000000"/>
            </w:tcBorders>
            <w:shd w:color="auto" w:fill="auto" w:val="clear"/>
            <w:vAlign w:val="bottom"/>
          </w:tcPr>
          <w:p>
            <w:pPr>
              <w:pStyle w:val="Normal"/>
              <w:spacing w:lineRule="auto" w:line="240"/>
              <w:rPr/>
            </w:pPr>
            <w:r>
              <w:rPr/>
              <w:t>Model Name</w:t>
            </w:r>
          </w:p>
        </w:tc>
        <w:tc>
          <w:tcPr>
            <w:tcW w:w="7546" w:type="dxa"/>
            <w:gridSpan w:val="7"/>
            <w:tcBorders>
              <w:bottom w:val="single" w:sz="4" w:space="0" w:color="000000"/>
            </w:tcBorders>
            <w:shd w:color="auto" w:fill="auto" w:val="clear"/>
            <w:vAlign w:val="bottom"/>
          </w:tcPr>
          <w:p>
            <w:pPr>
              <w:pStyle w:val="Normal"/>
              <w:spacing w:lineRule="auto" w:line="240"/>
              <w:jc w:val="center"/>
              <w:rPr>
                <w:iCs/>
              </w:rPr>
            </w:pPr>
            <w:r>
              <w:rPr>
                <w:iCs/>
              </w:rPr>
              <w:t>Model Parameters</w:t>
            </w:r>
          </w:p>
        </w:tc>
      </w:tr>
      <w:tr>
        <w:trPr>
          <w:trHeight w:val="371" w:hRule="atLeast"/>
        </w:trPr>
        <w:tc>
          <w:tcPr>
            <w:tcW w:w="1804" w:type="dxa"/>
            <w:tcBorders>
              <w:top w:val="single" w:sz="4" w:space="0" w:color="000000"/>
            </w:tcBorders>
            <w:shd w:color="auto" w:fill="auto" w:val="clear"/>
            <w:vAlign w:val="bottom"/>
          </w:tcPr>
          <w:p>
            <w:pPr>
              <w:pStyle w:val="Normal"/>
              <w:spacing w:lineRule="auto" w:line="240"/>
              <w:rPr/>
            </w:pPr>
            <w:r>
              <w:rPr/>
            </w:r>
          </w:p>
        </w:tc>
        <w:tc>
          <w:tcPr>
            <w:tcW w:w="1090" w:type="dxa"/>
            <w:tcBorders>
              <w:top w:val="single" w:sz="4" w:space="0" w:color="000000"/>
            </w:tcBorders>
            <w:shd w:color="auto" w:fill="auto" w:val="clear"/>
            <w:vAlign w:val="bottom"/>
          </w:tcPr>
          <w:p>
            <w:pPr>
              <w:pStyle w:val="Normal"/>
              <w:spacing w:lineRule="auto" w:line="240"/>
              <w:jc w:val="center"/>
              <w:rPr>
                <w:i/>
                <w:i/>
              </w:rPr>
            </w:pPr>
            <w:r>
              <w:rPr>
                <w:i/>
              </w:rPr>
              <w:t>μ</w:t>
            </w:r>
          </w:p>
        </w:tc>
        <w:tc>
          <w:tcPr>
            <w:tcW w:w="1091" w:type="dxa"/>
            <w:tcBorders>
              <w:top w:val="single" w:sz="4" w:space="0" w:color="000000"/>
            </w:tcBorders>
            <w:shd w:color="auto" w:fill="auto" w:val="clear"/>
            <w:vAlign w:val="bottom"/>
          </w:tcPr>
          <w:p>
            <w:pPr>
              <w:pStyle w:val="Normal"/>
              <w:spacing w:lineRule="auto" w:line="240"/>
              <w:jc w:val="center"/>
              <w:rPr>
                <w:i/>
                <w:i/>
              </w:rPr>
            </w:pPr>
            <w:r>
              <w:rPr>
                <w:i/>
              </w:rPr>
              <w:t xml:space="preserve">η </w:t>
            </w:r>
          </w:p>
        </w:tc>
        <w:tc>
          <w:tcPr>
            <w:tcW w:w="1091"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1</w:t>
            </w:r>
          </w:p>
        </w:tc>
        <w:tc>
          <w:tcPr>
            <w:tcW w:w="1090"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2</w:t>
            </w:r>
          </w:p>
        </w:tc>
        <w:tc>
          <w:tcPr>
            <w:tcW w:w="958" w:type="dxa"/>
            <w:tcBorders>
              <w:top w:val="single" w:sz="4" w:space="0" w:color="000000"/>
            </w:tcBorders>
            <w:shd w:color="auto" w:fill="auto" w:val="clear"/>
            <w:vAlign w:val="bottom"/>
          </w:tcPr>
          <w:p>
            <w:pPr>
              <w:pStyle w:val="Normal"/>
              <w:spacing w:lineRule="auto" w:line="240"/>
              <w:jc w:val="center"/>
              <w:rPr>
                <w:i/>
                <w:i/>
              </w:rPr>
            </w:pPr>
            <w:r>
              <w:rPr>
                <w:i/>
              </w:rPr>
              <w:t>π</w:t>
            </w:r>
          </w:p>
        </w:tc>
        <w:tc>
          <w:tcPr>
            <w:tcW w:w="1113" w:type="dxa"/>
            <w:tcBorders>
              <w:top w:val="single" w:sz="4" w:space="0" w:color="000000"/>
            </w:tcBorders>
            <w:shd w:color="auto" w:fill="auto" w:val="clear"/>
            <w:vAlign w:val="bottom"/>
          </w:tcPr>
          <w:p>
            <w:pPr>
              <w:pStyle w:val="Normal"/>
              <w:spacing w:lineRule="auto" w:line="240"/>
              <w:jc w:val="center"/>
              <w:rPr/>
            </w:pPr>
            <w:r>
              <w:rPr>
                <w:i/>
              </w:rPr>
              <w:t>T</w:t>
            </w:r>
            <w:r>
              <w:rPr>
                <w:i/>
                <w:vertAlign w:val="subscript"/>
              </w:rPr>
              <w:t>er</w:t>
            </w:r>
          </w:p>
        </w:tc>
        <w:tc>
          <w:tcPr>
            <w:tcW w:w="1113" w:type="dxa"/>
            <w:tcBorders>
              <w:top w:val="single" w:sz="4" w:space="0" w:color="000000"/>
            </w:tcBorders>
            <w:shd w:color="auto" w:fill="auto" w:val="clear"/>
            <w:vAlign w:val="bottom"/>
          </w:tcPr>
          <w:p>
            <w:pPr>
              <w:pStyle w:val="Normal"/>
              <w:spacing w:lineRule="auto" w:line="240"/>
              <w:jc w:val="center"/>
              <w:rPr/>
            </w:pPr>
            <w:r>
              <w:rPr>
                <w:i/>
              </w:rPr>
              <w:t>s</w:t>
            </w:r>
            <w:r>
              <w:rPr>
                <w:i/>
                <w:vertAlign w:val="subscript"/>
              </w:rPr>
              <w:t>t</w:t>
            </w:r>
          </w:p>
        </w:tc>
      </w:tr>
      <w:tr>
        <w:trPr>
          <w:trHeight w:val="371" w:hRule="atLeast"/>
        </w:trPr>
        <w:tc>
          <w:tcPr>
            <w:tcW w:w="1804" w:type="dxa"/>
            <w:tcBorders/>
            <w:shd w:color="auto" w:fill="auto" w:val="clear"/>
            <w:vAlign w:val="bottom"/>
          </w:tcPr>
          <w:p>
            <w:pPr>
              <w:pStyle w:val="Normal"/>
              <w:spacing w:lineRule="auto" w:line="240"/>
              <w:rPr/>
            </w:pPr>
            <w:r>
              <w:rPr/>
              <w:t>Continuous</w:t>
            </w:r>
          </w:p>
        </w:tc>
        <w:tc>
          <w:tcPr>
            <w:tcW w:w="1090" w:type="dxa"/>
            <w:tcBorders/>
            <w:shd w:color="auto" w:fill="auto" w:val="clear"/>
            <w:vAlign w:val="bottom"/>
          </w:tcPr>
          <w:p>
            <w:pPr>
              <w:pStyle w:val="Normal"/>
              <w:spacing w:lineRule="auto" w:line="240"/>
              <w:jc w:val="center"/>
              <w:rPr/>
            </w:pPr>
            <w:r>
              <w:rPr/>
              <w:t>0.92</w:t>
            </w:r>
          </w:p>
        </w:tc>
        <w:tc>
          <w:tcPr>
            <w:tcW w:w="1091" w:type="dxa"/>
            <w:tcBorders/>
            <w:shd w:color="auto" w:fill="auto" w:val="clear"/>
            <w:vAlign w:val="bottom"/>
          </w:tcPr>
          <w:p>
            <w:pPr>
              <w:pStyle w:val="Normal"/>
              <w:spacing w:lineRule="auto" w:line="240"/>
              <w:jc w:val="center"/>
              <w:rPr/>
            </w:pPr>
            <w:r>
              <w:rPr/>
              <w:t>0.52</w:t>
            </w:r>
          </w:p>
        </w:tc>
        <w:tc>
          <w:tcPr>
            <w:tcW w:w="1091" w:type="dxa"/>
            <w:tcBorders/>
            <w:shd w:color="auto" w:fill="auto" w:val="clear"/>
            <w:vAlign w:val="bottom"/>
          </w:tcPr>
          <w:p>
            <w:pPr>
              <w:pStyle w:val="Normal"/>
              <w:spacing w:lineRule="auto" w:line="240"/>
              <w:jc w:val="center"/>
              <w:rPr/>
            </w:pPr>
            <w:r>
              <w:rPr/>
              <w:t>1.46</w:t>
            </w:r>
          </w:p>
        </w:tc>
        <w:tc>
          <w:tcPr>
            <w:tcW w:w="1090" w:type="dxa"/>
            <w:tcBorders/>
            <w:shd w:color="auto" w:fill="auto" w:val="clear"/>
            <w:vAlign w:val="bottom"/>
          </w:tcPr>
          <w:p>
            <w:pPr>
              <w:pStyle w:val="Normal"/>
              <w:spacing w:lineRule="auto" w:line="240"/>
              <w:jc w:val="center"/>
              <w:rPr/>
            </w:pPr>
            <w:r>
              <w:rPr/>
              <w:t>-</w:t>
            </w:r>
          </w:p>
        </w:tc>
        <w:tc>
          <w:tcPr>
            <w:tcW w:w="958" w:type="dxa"/>
            <w:tcBorders/>
            <w:shd w:color="auto" w:fill="auto" w:val="clear"/>
            <w:vAlign w:val="bottom"/>
          </w:tcPr>
          <w:p>
            <w:pPr>
              <w:pStyle w:val="Normal"/>
              <w:spacing w:lineRule="auto" w:line="240"/>
              <w:jc w:val="center"/>
              <w:rPr/>
            </w:pPr>
            <w:r>
              <w:rPr/>
              <w:t>-</w:t>
            </w:r>
          </w:p>
        </w:tc>
        <w:tc>
          <w:tcPr>
            <w:tcW w:w="1113" w:type="dxa"/>
            <w:tcBorders/>
            <w:shd w:color="auto" w:fill="auto" w:val="clear"/>
            <w:vAlign w:val="bottom"/>
          </w:tcPr>
          <w:p>
            <w:pPr>
              <w:pStyle w:val="Normal"/>
              <w:spacing w:lineRule="auto" w:line="240"/>
              <w:jc w:val="center"/>
              <w:rPr/>
            </w:pPr>
            <w:r>
              <w:rPr/>
              <w:t>-0.02</w:t>
            </w:r>
          </w:p>
        </w:tc>
        <w:tc>
          <w:tcPr>
            <w:tcW w:w="1113" w:type="dxa"/>
            <w:tcBorders/>
            <w:shd w:color="auto" w:fill="auto" w:val="clear"/>
            <w:vAlign w:val="bottom"/>
          </w:tcPr>
          <w:p>
            <w:pPr>
              <w:pStyle w:val="Normal"/>
              <w:spacing w:lineRule="auto" w:line="240"/>
              <w:jc w:val="center"/>
              <w:rPr/>
            </w:pPr>
            <w:r>
              <w:rPr/>
              <w:t>0.14</w:t>
            </w:r>
          </w:p>
        </w:tc>
      </w:tr>
      <w:tr>
        <w:trPr>
          <w:trHeight w:val="371" w:hRule="atLeast"/>
        </w:trPr>
        <w:tc>
          <w:tcPr>
            <w:tcW w:w="1804" w:type="dxa"/>
            <w:tcBorders/>
            <w:shd w:color="auto" w:fill="auto" w:val="clear"/>
            <w:vAlign w:val="bottom"/>
          </w:tcPr>
          <w:p>
            <w:pPr>
              <w:pStyle w:val="Normal"/>
              <w:spacing w:lineRule="auto" w:line="240"/>
              <w:rPr/>
            </w:pPr>
            <w:r>
              <w:rPr/>
              <w:t>Threshold</w:t>
            </w:r>
          </w:p>
        </w:tc>
        <w:tc>
          <w:tcPr>
            <w:tcW w:w="1090" w:type="dxa"/>
            <w:tcBorders/>
            <w:shd w:color="auto" w:fill="auto" w:val="clear"/>
            <w:vAlign w:val="bottom"/>
          </w:tcPr>
          <w:p>
            <w:pPr>
              <w:pStyle w:val="Normal"/>
              <w:spacing w:lineRule="auto" w:line="240"/>
              <w:jc w:val="center"/>
              <w:rPr/>
            </w:pPr>
            <w:r>
              <w:rPr/>
              <w:t>3.64</w:t>
            </w:r>
          </w:p>
        </w:tc>
        <w:tc>
          <w:tcPr>
            <w:tcW w:w="1091" w:type="dxa"/>
            <w:tcBorders/>
            <w:shd w:color="auto" w:fill="auto" w:val="clear"/>
            <w:vAlign w:val="bottom"/>
          </w:tcPr>
          <w:p>
            <w:pPr>
              <w:pStyle w:val="Normal"/>
              <w:spacing w:lineRule="auto" w:line="240"/>
              <w:jc w:val="center"/>
              <w:rPr/>
            </w:pPr>
            <w:r>
              <w:rPr/>
              <w:t>-</w:t>
            </w:r>
          </w:p>
        </w:tc>
        <w:tc>
          <w:tcPr>
            <w:tcW w:w="1091" w:type="dxa"/>
            <w:tcBorders/>
            <w:shd w:color="auto" w:fill="auto" w:val="clear"/>
            <w:vAlign w:val="bottom"/>
          </w:tcPr>
          <w:p>
            <w:pPr>
              <w:pStyle w:val="Normal"/>
              <w:spacing w:lineRule="auto" w:line="240"/>
              <w:jc w:val="center"/>
              <w:rPr/>
            </w:pPr>
            <w:r>
              <w:rPr/>
              <w:t>3.00</w:t>
            </w:r>
          </w:p>
        </w:tc>
        <w:tc>
          <w:tcPr>
            <w:tcW w:w="1090" w:type="dxa"/>
            <w:tcBorders/>
            <w:shd w:color="auto" w:fill="auto" w:val="clear"/>
            <w:vAlign w:val="bottom"/>
          </w:tcPr>
          <w:p>
            <w:pPr>
              <w:pStyle w:val="Normal"/>
              <w:spacing w:lineRule="auto" w:line="240"/>
              <w:jc w:val="center"/>
              <w:rPr/>
            </w:pPr>
            <w:r>
              <w:rPr/>
              <w:t>1.32</w:t>
            </w:r>
          </w:p>
        </w:tc>
        <w:tc>
          <w:tcPr>
            <w:tcW w:w="958" w:type="dxa"/>
            <w:tcBorders/>
            <w:shd w:color="auto" w:fill="auto" w:val="clear"/>
            <w:vAlign w:val="bottom"/>
          </w:tcPr>
          <w:p>
            <w:pPr>
              <w:pStyle w:val="Normal"/>
              <w:spacing w:lineRule="auto" w:line="240"/>
              <w:jc w:val="center"/>
              <w:rPr/>
            </w:pPr>
            <w:r>
              <w:rPr/>
              <w:t>0.42</w:t>
            </w:r>
          </w:p>
        </w:tc>
        <w:tc>
          <w:tcPr>
            <w:tcW w:w="1113" w:type="dxa"/>
            <w:tcBorders/>
            <w:shd w:color="auto" w:fill="auto" w:val="clear"/>
            <w:vAlign w:val="bottom"/>
          </w:tcPr>
          <w:p>
            <w:pPr>
              <w:pStyle w:val="Normal"/>
              <w:spacing w:lineRule="auto" w:line="240"/>
              <w:jc w:val="center"/>
              <w:rPr/>
            </w:pPr>
            <w:r>
              <w:rPr/>
              <w:t>-0.08</w:t>
            </w:r>
          </w:p>
        </w:tc>
        <w:tc>
          <w:tcPr>
            <w:tcW w:w="1113" w:type="dxa"/>
            <w:tcBorders/>
            <w:shd w:color="auto" w:fill="auto" w:val="clear"/>
            <w:vAlign w:val="bottom"/>
          </w:tcPr>
          <w:p>
            <w:pPr>
              <w:pStyle w:val="Normal"/>
              <w:spacing w:lineRule="auto" w:line="240"/>
              <w:jc w:val="center"/>
              <w:rPr/>
            </w:pPr>
            <w:r>
              <w:rPr/>
              <w:t>0.09</w:t>
            </w:r>
          </w:p>
        </w:tc>
      </w:tr>
      <w:tr>
        <w:trPr>
          <w:trHeight w:val="371" w:hRule="atLeast"/>
        </w:trPr>
        <w:tc>
          <w:tcPr>
            <w:tcW w:w="1804" w:type="dxa"/>
            <w:tcBorders>
              <w:bottom w:val="single" w:sz="4" w:space="0" w:color="000000"/>
            </w:tcBorders>
            <w:shd w:color="auto" w:fill="auto" w:val="clear"/>
            <w:vAlign w:val="bottom"/>
          </w:tcPr>
          <w:p>
            <w:pPr>
              <w:pStyle w:val="Normal"/>
              <w:spacing w:lineRule="auto" w:line="240"/>
              <w:rPr/>
            </w:pPr>
            <w:r>
              <w:rPr/>
              <w:t>Hybrid</w:t>
            </w:r>
          </w:p>
        </w:tc>
        <w:tc>
          <w:tcPr>
            <w:tcW w:w="1090" w:type="dxa"/>
            <w:tcBorders>
              <w:bottom w:val="single" w:sz="4" w:space="0" w:color="000000"/>
            </w:tcBorders>
            <w:shd w:color="auto" w:fill="auto" w:val="clear"/>
            <w:vAlign w:val="bottom"/>
          </w:tcPr>
          <w:p>
            <w:pPr>
              <w:pStyle w:val="Normal"/>
              <w:spacing w:lineRule="auto" w:line="240"/>
              <w:jc w:val="center"/>
              <w:rPr/>
            </w:pPr>
            <w:r>
              <w:rPr/>
              <w:t>3.66</w:t>
            </w:r>
          </w:p>
        </w:tc>
        <w:tc>
          <w:tcPr>
            <w:tcW w:w="1091" w:type="dxa"/>
            <w:tcBorders>
              <w:bottom w:val="single" w:sz="4" w:space="0" w:color="000000"/>
            </w:tcBorders>
            <w:shd w:color="auto" w:fill="auto" w:val="clear"/>
            <w:vAlign w:val="bottom"/>
          </w:tcPr>
          <w:p>
            <w:pPr>
              <w:pStyle w:val="Normal"/>
              <w:spacing w:lineRule="auto" w:line="240"/>
              <w:jc w:val="center"/>
              <w:rPr/>
            </w:pPr>
            <w:r>
              <w:rPr/>
              <w:t>0.18</w:t>
            </w:r>
          </w:p>
        </w:tc>
        <w:tc>
          <w:tcPr>
            <w:tcW w:w="1091" w:type="dxa"/>
            <w:tcBorders>
              <w:bottom w:val="single" w:sz="4" w:space="0" w:color="000000"/>
            </w:tcBorders>
            <w:shd w:color="auto" w:fill="auto" w:val="clear"/>
            <w:vAlign w:val="bottom"/>
          </w:tcPr>
          <w:p>
            <w:pPr>
              <w:pStyle w:val="Normal"/>
              <w:spacing w:lineRule="auto" w:line="240"/>
              <w:jc w:val="center"/>
              <w:rPr/>
            </w:pPr>
            <w:r>
              <w:rPr/>
              <w:t>3.20</w:t>
            </w:r>
          </w:p>
        </w:tc>
        <w:tc>
          <w:tcPr>
            <w:tcW w:w="1090" w:type="dxa"/>
            <w:tcBorders>
              <w:bottom w:val="single" w:sz="4" w:space="0" w:color="000000"/>
            </w:tcBorders>
            <w:shd w:color="auto" w:fill="auto" w:val="clear"/>
            <w:vAlign w:val="bottom"/>
          </w:tcPr>
          <w:p>
            <w:pPr>
              <w:pStyle w:val="Normal"/>
              <w:spacing w:lineRule="auto" w:line="240"/>
              <w:jc w:val="center"/>
              <w:rPr/>
            </w:pPr>
            <w:r>
              <w:rPr/>
              <w:t>1.30</w:t>
            </w:r>
          </w:p>
        </w:tc>
        <w:tc>
          <w:tcPr>
            <w:tcW w:w="958" w:type="dxa"/>
            <w:tcBorders>
              <w:bottom w:val="single" w:sz="4" w:space="0" w:color="000000"/>
            </w:tcBorders>
            <w:shd w:color="auto" w:fill="auto" w:val="clear"/>
            <w:vAlign w:val="bottom"/>
          </w:tcPr>
          <w:p>
            <w:pPr>
              <w:pStyle w:val="Normal"/>
              <w:spacing w:lineRule="auto" w:line="240"/>
              <w:jc w:val="center"/>
              <w:rPr/>
            </w:pPr>
            <w:r>
              <w:rPr/>
              <w:t>0.41</w:t>
            </w:r>
          </w:p>
        </w:tc>
        <w:tc>
          <w:tcPr>
            <w:tcW w:w="1113" w:type="dxa"/>
            <w:tcBorders>
              <w:bottom w:val="single" w:sz="4" w:space="0" w:color="000000"/>
            </w:tcBorders>
            <w:shd w:color="auto" w:fill="auto" w:val="clear"/>
            <w:vAlign w:val="bottom"/>
          </w:tcPr>
          <w:p>
            <w:pPr>
              <w:pStyle w:val="Normal"/>
              <w:spacing w:lineRule="auto" w:line="240"/>
              <w:jc w:val="center"/>
              <w:rPr/>
            </w:pPr>
            <w:r>
              <w:rPr/>
              <w:t>-0.07</w:t>
            </w:r>
          </w:p>
        </w:tc>
        <w:tc>
          <w:tcPr>
            <w:tcW w:w="1113" w:type="dxa"/>
            <w:tcBorders>
              <w:bottom w:val="single" w:sz="4" w:space="0" w:color="000000"/>
            </w:tcBorders>
            <w:shd w:color="auto" w:fill="auto" w:val="clear"/>
            <w:vAlign w:val="bottom"/>
          </w:tcPr>
          <w:p>
            <w:pPr>
              <w:pStyle w:val="Normal"/>
              <w:spacing w:lineRule="auto" w:line="240"/>
              <w:jc w:val="center"/>
              <w:rPr/>
            </w:pPr>
            <w:r>
              <w:rPr/>
              <w:t>0.06</w:t>
            </w:r>
          </w:p>
        </w:tc>
      </w:tr>
    </w:tbl>
    <w:p>
      <w:pPr>
        <w:pStyle w:val="Normal"/>
        <w:rPr/>
      </w:pPr>
      <w:r>
        <w:rPr/>
      </w:r>
    </w:p>
    <w:p>
      <w:pPr>
        <w:pStyle w:val="Normal"/>
        <w:rPr/>
      </w:pPr>
      <w:r>
        <w:rPr/>
      </w:r>
    </w:p>
    <w:p>
      <w:pPr>
        <w:pStyle w:val="Normal"/>
        <w:rPr/>
      </w:pPr>
      <w:r>
        <w:rPr/>
        <w:tab/>
      </w:r>
      <w:commentRangeStart w:id="20"/>
      <w:r>
        <w:rPr>
          <w:b/>
          <w:bCs/>
        </w:rPr>
        <w:t xml:space="preserve">Non-normal Distributions of Phase Angles </w:t>
      </w:r>
    </w:p>
    <w:p>
      <w:pPr>
        <w:pStyle w:val="Normal"/>
        <w:ind w:firstLine="720"/>
        <w:rPr/>
      </w:pPr>
      <w:r>
        <w:rPr/>
        <w:t xml:space="preserve">Schurgin, Wixted,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(2020) used the circular diffusion model to model continuous outcome decisions about the hues of noisy color patches and compared two models of the drift rates in the decision process. One was a two-component model similar to Zhang and Luck's (2008) memory-plus-guessing model, and the other was a continuous model with non-normal phase angles, with similar properties to Schurgin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non-normal distributions of phase angles of the drift rate.  We found the non-normal model performed similarly to our threshold model and the estimated parameters of the model supported the idea of a threshold or threshold-like retrieval process. We omit the details of this model. </w:t>
      </w:r>
      <w:commentRangeEnd w:id="20"/>
      <w:r>
        <w:commentReference w:id="20"/>
      </w:r>
      <w:r>
        <w:rPr/>
      </w:r>
    </w:p>
    <w:p>
      <w:pPr>
        <w:pStyle w:val="Normal"/>
        <w:rPr/>
      </w:pPr>
      <w:ins w:id="307" w:author="Unknown Author" w:date="2020-03-30T15:40:00Z">
        <w:r>
          <w:rPr/>
          <w:t>]</w:t>
        </w:r>
      </w:ins>
      <w:bookmarkStart w:id="15" w:name="_2d3icgbx3l16"/>
      <w:bookmarkEnd w:id="15"/>
      <w:r>
        <w:rPr/>
        <w:commentReference w:id="21"/>
      </w:r>
    </w:p>
    <w:p>
      <w:pPr>
        <w:pStyle w:val="Heading1"/>
        <w:keepNext w:val="false"/>
        <w:keepLines w:val="false"/>
        <w:spacing w:before="480" w:after="0"/>
        <w:jc w:val="center"/>
        <w:rPr/>
      </w:pPr>
      <w:r>
        <w:rPr/>
        <w:t>Discussion</w:t>
      </w:r>
    </w:p>
    <w:p>
      <w:pPr>
        <w:pStyle w:val="Normal"/>
        <w:ind w:firstLine="720"/>
        <w:rPr/>
      </w:pPr>
      <w:r>
        <w:rP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w:t>
      </w:r>
      <w:commentRangeStart w:id="22"/>
      <w:r>
        <w:rPr/>
        <w:t>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thresholded would continue to hold for memory when performance was conditioned on recognition confidence</w:t>
      </w:r>
      <w:r>
        <w:rPr/>
      </w:r>
      <w:commentRangeEnd w:id="22"/>
      <w:r>
        <w:commentReference w:id="22"/>
      </w:r>
      <w:r>
        <w:rPr/>
        <w:t>.</w:t>
      </w:r>
    </w:p>
    <w:p>
      <w:pPr>
        <w:pStyle w:val="Normal"/>
        <w:ind w:firstLine="720"/>
        <w:rPr/>
      </w:pPr>
      <w:r>
        <w:rPr/>
        <w:t xml:space="preserve">We found evidence suggesting that source memory retrieval is indeed best characterized as a thresholded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pPr>
        <w:pStyle w:val="Normal"/>
        <w:ind w:firstLine="720"/>
        <w:rPr/>
      </w:pPr>
      <w:r>
        <w:rPr/>
        <w:t xml:space="preserve"> </w:t>
      </w:r>
    </w:p>
    <w:p>
      <w:pPr>
        <w:pStyle w:val="Normal"/>
        <w:rPr>
          <w:b/>
          <w:b/>
          <w:bCs/>
        </w:rPr>
      </w:pPr>
      <w:r>
        <w:rPr>
          <w:b/>
          <w:bCs/>
        </w:rPr>
        <w:t>Implications for Models of Memory</w:t>
      </w:r>
    </w:p>
    <w:p>
      <w:pPr>
        <w:pStyle w:val="Normal"/>
        <w:ind w:firstLine="720"/>
        <w:rPr/>
      </w:pPr>
      <w:r>
        <w:rPr/>
        <w:t xml:space="preserve">Our joint modeling of accuracy and RT contributes to a growing body of work that suggests that memory retrieval involves a strength threshold. The novelty of our results is that we found evidence for a strength 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Our findings pose a challenge to continuous models of source memory (Banks, 2000). While the Hautus et al. (2018) model makes guess responses on source memory decisions, this behavior is restricted to occasions where the items are unrecognized. </w:t>
      </w:r>
      <w:commentRangeStart w:id="23"/>
      <w:r>
        <w:rPr/>
        <w:t>Our finding that guessing persists even when recognized items are tested undermines this particular model</w:t>
      </w:r>
      <w:r>
        <w:rPr/>
      </w:r>
      <w:commentRangeEnd w:id="23"/>
      <w:r>
        <w:commentReference w:id="23"/>
      </w:r>
      <w:r>
        <w:rPr/>
        <w:t xml:space="preserve">. It is unclear from our findings whether the “some-or-none” hybrid model (Onyper, Zhang, &amp; Howard, 2010) offers a consistent advantage over the discrete “all-or-none” model represented by the threshold model.  </w:t>
      </w:r>
      <w:del w:id="308" w:author="Unknown Author" w:date="2020-03-31T09:18:00Z">
        <w:r>
          <w:rPr/>
          <w:delText xml:space="preserve"> </w:delText>
        </w:r>
      </w:del>
    </w:p>
    <w:p>
      <w:pPr>
        <w:pStyle w:val="Normal"/>
        <w:ind w:firstLine="720"/>
        <w:rPr/>
      </w:pPr>
      <w:r>
        <w:rPr/>
        <w:t>We approached the analysis of the continuous outcome task as a cognitive modeling problem because we agree with the sentiment expressed by van den Berg et al. (2014) who remarked, in the context of visual working memory studies, that attempts to characterize the underlying cognitive processes via the qualitative properties of error distributions, such as “plateaus” and “knees” is statistically meaningless. They argued that the only principled way to approach the analysis of such tasks is by comparing alternative models of the process that generated the observed responses. Their stance, while principled, does not resolve the question of the appropriate model to use.</w:t>
      </w:r>
    </w:p>
    <w:p>
      <w:pPr>
        <w:pStyle w:val="Normal"/>
        <w:rPr/>
      </w:pPr>
      <w:r>
        <w:rPr/>
        <w:tab/>
        <w:t xml:space="preserve">In the visual working memory literature, performance on continuous outcome tasks has typically been modeled using mixtures of von Mises distributions. The Zhang and Luck (2008) slots-plus-guessing model assumes two von Mises components (a uniform distribution is a von Mises distribution with zero precision); the van den Berg et al. (2014) variable precision model assumes a continuous mixture of von Mises distributions. Other researchers have assumed finite mixture models with differing numbers of von Mises components (Bays, Catalao, &amp; Husain, 2009).  Although this work has provided valuable insights into the properties of visual working memory, it has two limitations. First, it provides an account of accuracy only but is silent on RT. Second, it provides no account of the theoretical basis of precision. </w:t>
      </w:r>
    </w:p>
    <w:p>
      <w:pPr>
        <w:pStyle w:val="Normal"/>
        <w:rPr/>
      </w:pPr>
      <w:ins w:id="309" w:author="Unknown Author" w:date="2020-03-31T09:37:00Z">
        <w:r>
          <w:rPr/>
          <w:tab/>
          <w:t xml:space="preserve">In studies of two-choice decision making, Ratcliff and colleagues have argued persuasively for the importance of using models than can account for both accuracy and RT (Ratcliff, 1978; Ratcliff &amp; McKoon,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signal detection theory in applications is that it is more constrained, because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w:t>
        </w:r>
      </w:ins>
      <w:ins w:id="310" w:author="Unknown Author" w:date="2020-03-31T09:37:00Z">
        <w:r>
          <w:rPr>
            <w:b/>
            <w:bCs/>
          </w:rPr>
          <w:t>[Adam to add references!]</w:t>
        </w:r>
      </w:ins>
    </w:p>
    <w:p>
      <w:pPr>
        <w:pStyle w:val="Normal"/>
        <w:rPr/>
      </w:pPr>
      <w:r>
        <w:rPr>
          <w:b/>
          <w:bCs/>
        </w:rPr>
        <w:tab/>
      </w:r>
      <w:r>
        <w:rP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Oberauer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(Bays, 2014) in which it characterizes the variability in the firing rates in a population of tuned detectors. This idea, while plausible (although see Lilburn, Smith, &amp; Sewell, 2018, for contrary evidence), provides no account of RT. </w:t>
      </w:r>
    </w:p>
    <w:p>
      <w:pPr>
        <w:pStyle w:val="Normal"/>
        <w:rPr/>
      </w:pPr>
      <w:r>
        <w:rPr/>
        <w:tab/>
        <w:t>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Link’s sensitivity index has the same form as the sensitivity index for a Luce choice theory signal detection model based on logistic distributions.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pPr>
        <w:pStyle w:val="Normal"/>
        <w:rPr/>
      </w:pPr>
      <w:r>
        <w:rP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pPr>
        <w:pStyle w:val="Normal"/>
        <w:ind w:firstLine="720"/>
        <w:rPr/>
      </w:pPr>
      <w:r>
        <w:rPr/>
        <w:commentReference w:id="24"/>
      </w:r>
      <w:r>
        <w:rPr/>
        <w:t xml:space="preserve">This study represents the first attempt to model RT data alongside response error in a source memory task with continuous report outcomes. We used the circular diffusion model, which provides for an elaborated account of decision-making, to fit joint RT and error data. This allowed for more constrained analysis than previous studies which accounted only for response error. </w:t>
      </w:r>
      <w:ins w:id="311" w:author="Jason Zhou" w:date="2020-04-10T15:37:00Z">
        <w:r>
          <w:rPr/>
          <w:t xml:space="preserve">Specifically, </w:t>
        </w:r>
      </w:ins>
      <w:ins w:id="312" w:author="Jason Zhou" w:date="2020-04-10T15:40:00Z">
        <w:r>
          <w:rPr/>
          <w:t xml:space="preserve">having a complete decision model </w:t>
        </w:r>
      </w:ins>
      <w:ins w:id="313" w:author="Jason Zhou" w:date="2020-04-10T15:37:00Z">
        <w:r>
          <w:rPr/>
          <w:t xml:space="preserve">allows for identification of </w:t>
        </w:r>
      </w:ins>
      <w:ins w:id="314" w:author="Jason Zhou" w:date="2020-04-10T15:38:00Z">
        <w:r>
          <w:rPr/>
          <w:t>independent sources of noise arising from properties of memory and properties of decision-making, rathe</w:t>
        </w:r>
      </w:ins>
      <w:ins w:id="315" w:author="Jason Zhou" w:date="2020-04-10T15:39:00Z">
        <w:r>
          <w:rPr/>
          <w:t>r than attributing all variability in responding to just memory. In</w:t>
        </w:r>
      </w:ins>
      <w:ins w:id="316" w:author="Jason Zhou" w:date="2020-04-10T15:41:00Z">
        <w:r>
          <w:rPr/>
          <w:t xml:space="preserve"> distinguishing these sources of variability, our approach allows for more direct inferences about the nature of memory</w:t>
        </w:r>
      </w:ins>
      <w:ins w:id="317" w:author="Jason Zhou" w:date="2020-04-10T15:42:00Z">
        <w:r>
          <w:rPr/>
          <w:t>, and how retrieval from memory drives decision-making.</w:t>
        </w:r>
      </w:ins>
      <w:r>
        <w:br w:type="page"/>
      </w:r>
    </w:p>
    <w:p>
      <w:pPr>
        <w:pStyle w:val="Normal"/>
        <w:snapToGrid w:val="false"/>
        <w:ind w:left="720" w:hanging="720"/>
        <w:jc w:val="center"/>
        <w:rPr/>
      </w:pPr>
      <w:commentRangeStart w:id="25"/>
      <w:r>
        <w:rPr>
          <w:b/>
        </w:rPr>
        <w:t>Appendices</w:t>
      </w:r>
      <w:commentRangeEnd w:id="25"/>
      <w:r>
        <w:commentReference w:id="25"/>
      </w:r>
      <w:r>
        <w:rPr>
          <w:b/>
        </w:rPr>
      </w:r>
    </w:p>
    <w:tbl>
      <w:tblPr>
        <w:tblW w:w="9518" w:type="dxa"/>
        <w:jc w:val="left"/>
        <w:tblInd w:w="-14" w:type="dxa"/>
        <w:tblCellMar>
          <w:top w:w="0" w:type="dxa"/>
          <w:left w:w="108" w:type="dxa"/>
          <w:bottom w:w="0" w:type="dxa"/>
          <w:right w:w="108" w:type="dxa"/>
        </w:tblCellMar>
        <w:tblLook w:val="04a0" w:noVBand="1" w:noHBand="0" w:lastColumn="0" w:firstColumn="1" w:lastRow="0" w:firstRow="1"/>
      </w:tblPr>
      <w:tblGrid>
        <w:gridCol w:w="2000"/>
        <w:gridCol w:w="712"/>
        <w:gridCol w:w="1"/>
        <w:gridCol w:w="1708"/>
        <w:gridCol w:w="1"/>
        <w:gridCol w:w="1687"/>
        <w:gridCol w:w="1"/>
        <w:gridCol w:w="2"/>
        <w:gridCol w:w="1705"/>
        <w:gridCol w:w="1"/>
        <w:gridCol w:w="1699"/>
      </w:tblGrid>
      <w:tr>
        <w:trPr>
          <w:trHeight w:val="273" w:hRule="atLeast"/>
        </w:trPr>
        <w:tc>
          <w:tcPr>
            <w:tcW w:w="9517" w:type="dxa"/>
            <w:gridSpan w:val="11"/>
            <w:tcBorders/>
            <w:shd w:color="auto" w:fill="auto" w:val="clear"/>
          </w:tcPr>
          <w:p>
            <w:pPr>
              <w:pStyle w:val="Normal"/>
              <w:spacing w:lineRule="auto" w:line="240"/>
              <w:rPr/>
            </w:pPr>
            <w:r>
              <w:rPr/>
              <w:t>Table X</w:t>
            </w:r>
          </w:p>
        </w:tc>
      </w:tr>
      <w:tr>
        <w:trPr>
          <w:trHeight w:val="273" w:hRule="atLeast"/>
        </w:trPr>
        <w:tc>
          <w:tcPr>
            <w:tcW w:w="9517" w:type="dxa"/>
            <w:gridSpan w:val="11"/>
            <w:tcBorders>
              <w:bottom w:val="single" w:sz="4" w:space="0" w:color="000000"/>
            </w:tcBorders>
            <w:shd w:color="auto" w:fill="auto" w:val="clear"/>
          </w:tcPr>
          <w:p>
            <w:pPr>
              <w:pStyle w:val="Normal"/>
              <w:spacing w:lineRule="auto" w:line="240"/>
              <w:rPr>
                <w:i/>
                <w:i/>
              </w:rPr>
            </w:pPr>
            <w:r>
              <w:rPr>
                <w:i/>
              </w:rPr>
              <w:t>Parameter Values for Best Fits of the Simple Mixture Model to Recognized Individual Data.</w:t>
            </w:r>
          </w:p>
        </w:tc>
      </w:tr>
      <w:tr>
        <w:trPr>
          <w:trHeight w:val="273" w:hRule="atLeast"/>
        </w:trPr>
        <w:tc>
          <w:tcPr>
            <w:tcW w:w="2713" w:type="dxa"/>
            <w:gridSpan w:val="3"/>
            <w:tcBorders>
              <w:top w:val="single" w:sz="4" w:space="0" w:color="000000"/>
              <w:bottom w:val="single" w:sz="4" w:space="0" w:color="000000"/>
            </w:tcBorders>
            <w:shd w:color="auto" w:fill="auto" w:val="clear"/>
          </w:tcPr>
          <w:p>
            <w:pPr>
              <w:pStyle w:val="Normal"/>
              <w:spacing w:lineRule="auto" w:line="240"/>
              <w:jc w:val="center"/>
              <w:rPr/>
            </w:pPr>
            <w:r>
              <w:rPr/>
            </w:r>
          </w:p>
        </w:tc>
        <w:tc>
          <w:tcPr>
            <w:tcW w:w="3399" w:type="dxa"/>
            <w:gridSpan w:val="5"/>
            <w:tcBorders>
              <w:top w:val="single" w:sz="4" w:space="0" w:color="000000"/>
              <w:bottom w:val="single" w:sz="4" w:space="0" w:color="000000"/>
            </w:tcBorders>
            <w:shd w:color="auto" w:fill="auto" w:val="clear"/>
            <w:vAlign w:val="bottom"/>
          </w:tcPr>
          <w:p>
            <w:pPr>
              <w:pStyle w:val="Normal"/>
              <w:spacing w:lineRule="auto" w:line="240"/>
              <w:jc w:val="center"/>
              <w:rPr/>
            </w:pPr>
            <w:r>
              <w:rPr/>
              <w:t>Low Imageability</w:t>
            </w:r>
          </w:p>
        </w:tc>
        <w:tc>
          <w:tcPr>
            <w:tcW w:w="3405" w:type="dxa"/>
            <w:gridSpan w:val="3"/>
            <w:tcBorders>
              <w:top w:val="single" w:sz="4" w:space="0" w:color="000000"/>
              <w:bottom w:val="single" w:sz="4" w:space="0" w:color="000000"/>
            </w:tcBorders>
            <w:shd w:color="auto" w:fill="auto" w:val="clear"/>
            <w:vAlign w:val="bottom"/>
          </w:tcPr>
          <w:p>
            <w:pPr>
              <w:pStyle w:val="Normal"/>
              <w:spacing w:lineRule="auto" w:line="240"/>
              <w:jc w:val="center"/>
              <w:rPr/>
            </w:pPr>
            <w:r>
              <w:rPr/>
              <w:t>High Imageability</w:t>
            </w:r>
          </w:p>
        </w:tc>
      </w:tr>
      <w:tr>
        <w:trPr>
          <w:trHeight w:val="585" w:hRule="atLeast"/>
        </w:trPr>
        <w:tc>
          <w:tcPr>
            <w:tcW w:w="2713" w:type="dxa"/>
            <w:gridSpan w:val="3"/>
            <w:tcBorders>
              <w:top w:val="single" w:sz="4" w:space="0" w:color="000000"/>
            </w:tcBorders>
            <w:shd w:color="auto" w:fill="auto" w:val="clear"/>
            <w:vAlign w:val="center"/>
          </w:tcPr>
          <w:p>
            <w:pPr>
              <w:pStyle w:val="Normal"/>
              <w:spacing w:lineRule="auto" w:line="240"/>
              <w:jc w:val="center"/>
              <w:rPr/>
            </w:pPr>
            <w:r>
              <w:rPr/>
              <w:t>Participant</w:t>
            </w:r>
          </w:p>
        </w:tc>
        <w:tc>
          <w:tcPr>
            <w:tcW w:w="1709" w:type="dxa"/>
            <w:gridSpan w:val="2"/>
            <w:tcBorders>
              <w:top w:val="single" w:sz="4" w:space="0" w:color="000000"/>
            </w:tcBorders>
            <w:shd w:color="auto" w:fill="auto" w:val="clear"/>
            <w:vAlign w:val="center"/>
          </w:tcPr>
          <w:p>
            <w:pPr>
              <w:pStyle w:val="Normal"/>
              <w:spacing w:lineRule="auto" w:line="240"/>
              <w:jc w:val="center"/>
              <w:rPr/>
            </w:pPr>
            <w:r>
              <w:rPr/>
              <w:t>Precision</w:t>
            </w:r>
          </w:p>
        </w:tc>
        <w:tc>
          <w:tcPr>
            <w:tcW w:w="1688" w:type="dxa"/>
            <w:gridSpan w:val="2"/>
            <w:tcBorders>
              <w:top w:val="single" w:sz="4" w:space="0" w:color="000000"/>
            </w:tcBorders>
            <w:shd w:color="auto" w:fill="auto" w:val="clear"/>
            <w:vAlign w:val="center"/>
          </w:tcPr>
          <w:p>
            <w:pPr>
              <w:pStyle w:val="Normal"/>
              <w:spacing w:lineRule="auto" w:line="240"/>
              <w:jc w:val="center"/>
              <w:rPr>
                <w:i/>
                <w:i/>
              </w:rPr>
            </w:pPr>
            <w:r>
              <w:rPr>
                <w:i/>
              </w:rPr>
              <w:t>π</w:t>
            </w:r>
          </w:p>
        </w:tc>
        <w:tc>
          <w:tcPr>
            <w:tcW w:w="1708" w:type="dxa"/>
            <w:gridSpan w:val="3"/>
            <w:tcBorders>
              <w:top w:val="single" w:sz="4" w:space="0" w:color="000000"/>
            </w:tcBorders>
            <w:shd w:color="auto" w:fill="auto" w:val="clear"/>
            <w:vAlign w:val="center"/>
          </w:tcPr>
          <w:p>
            <w:pPr>
              <w:pStyle w:val="Normal"/>
              <w:spacing w:lineRule="auto" w:line="240"/>
              <w:jc w:val="center"/>
              <w:rPr/>
            </w:pPr>
            <w:r>
              <w:rPr/>
              <w:t>Precision</w:t>
            </w:r>
          </w:p>
        </w:tc>
        <w:tc>
          <w:tcPr>
            <w:tcW w:w="1699" w:type="dxa"/>
            <w:tcBorders>
              <w:top w:val="single" w:sz="4" w:space="0" w:color="000000"/>
            </w:tcBorders>
            <w:shd w:color="auto" w:fill="auto" w:val="clear"/>
            <w:vAlign w:val="center"/>
          </w:tcPr>
          <w:p>
            <w:pPr>
              <w:pStyle w:val="Normal"/>
              <w:spacing w:lineRule="auto" w:line="240"/>
              <w:jc w:val="center"/>
              <w:rPr>
                <w:i/>
                <w:i/>
              </w:rPr>
            </w:pPr>
            <w:r>
              <w:rPr>
                <w:i/>
              </w:rPr>
              <w:t>π</w:t>
            </w:r>
          </w:p>
        </w:tc>
      </w:tr>
      <w:tr>
        <w:trPr>
          <w:trHeight w:val="273" w:hRule="atLeast"/>
        </w:trPr>
        <w:tc>
          <w:tcPr>
            <w:tcW w:w="2000" w:type="dxa"/>
            <w:tcBorders/>
            <w:shd w:color="auto" w:fill="auto" w:val="clear"/>
            <w:vAlign w:val="bottom"/>
          </w:tcPr>
          <w:p>
            <w:pPr>
              <w:pStyle w:val="Normal"/>
              <w:spacing w:lineRule="auto" w:line="240"/>
              <w:rPr/>
            </w:pPr>
            <w:r>
              <w:rPr/>
              <w:t>High Accuracy</w:t>
            </w:r>
          </w:p>
        </w:tc>
        <w:tc>
          <w:tcPr>
            <w:tcW w:w="712" w:type="dxa"/>
            <w:tcBorders/>
            <w:shd w:color="auto" w:fill="auto" w:val="clear"/>
            <w:vAlign w:val="bottom"/>
          </w:tcPr>
          <w:p>
            <w:pPr>
              <w:pStyle w:val="Normal"/>
              <w:spacing w:lineRule="auto" w:line="240"/>
              <w:jc w:val="center"/>
              <w:rPr/>
            </w:pPr>
            <w:r>
              <w:rPr/>
            </w:r>
          </w:p>
        </w:tc>
        <w:tc>
          <w:tcPr>
            <w:tcW w:w="1709" w:type="dxa"/>
            <w:gridSpan w:val="2"/>
            <w:tcBorders/>
            <w:shd w:color="auto" w:fill="auto" w:val="clear"/>
            <w:vAlign w:val="bottom"/>
          </w:tcPr>
          <w:p>
            <w:pPr>
              <w:pStyle w:val="Normal"/>
              <w:spacing w:lineRule="auto" w:line="240"/>
              <w:jc w:val="center"/>
              <w:rPr/>
            </w:pPr>
            <w:r>
              <w:rPr/>
            </w:r>
          </w:p>
        </w:tc>
        <w:tc>
          <w:tcPr>
            <w:tcW w:w="1688" w:type="dxa"/>
            <w:gridSpan w:val="2"/>
            <w:tcBorders/>
            <w:shd w:color="auto" w:fill="auto" w:val="clear"/>
            <w:vAlign w:val="bottom"/>
          </w:tcPr>
          <w:p>
            <w:pPr>
              <w:pStyle w:val="Normal"/>
              <w:spacing w:lineRule="auto" w:line="240"/>
              <w:jc w:val="center"/>
              <w:rPr/>
            </w:pPr>
            <w:r>
              <w:rPr/>
            </w:r>
          </w:p>
        </w:tc>
        <w:tc>
          <w:tcPr>
            <w:tcW w:w="1708" w:type="dxa"/>
            <w:gridSpan w:val="3"/>
            <w:tcBorders/>
            <w:shd w:color="auto" w:fill="auto" w:val="clear"/>
            <w:vAlign w:val="bottom"/>
          </w:tcPr>
          <w:p>
            <w:pPr>
              <w:pStyle w:val="Normal"/>
              <w:spacing w:lineRule="auto" w:line="240"/>
              <w:jc w:val="center"/>
              <w:rPr/>
            </w:pPr>
            <w:r>
              <w:rPr/>
            </w:r>
          </w:p>
        </w:tc>
        <w:tc>
          <w:tcPr>
            <w:tcW w:w="1700" w:type="dxa"/>
            <w:gridSpan w:val="2"/>
            <w:tcBorders/>
            <w:shd w:color="auto" w:fill="auto" w:val="clear"/>
            <w:vAlign w:val="bottom"/>
          </w:tcPr>
          <w:p>
            <w:pPr>
              <w:pStyle w:val="Normal"/>
              <w:spacing w:lineRule="auto" w:line="240"/>
              <w:jc w:val="center"/>
              <w:rPr/>
            </w:pPr>
            <w:r>
              <w:rPr/>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w:t>
            </w:r>
          </w:p>
        </w:tc>
        <w:tc>
          <w:tcPr>
            <w:tcW w:w="1709" w:type="dxa"/>
            <w:gridSpan w:val="2"/>
            <w:tcBorders/>
            <w:shd w:color="auto" w:fill="auto" w:val="clear"/>
            <w:vAlign w:val="bottom"/>
          </w:tcPr>
          <w:p>
            <w:pPr>
              <w:pStyle w:val="Normal"/>
              <w:spacing w:lineRule="auto" w:line="240"/>
              <w:jc w:val="center"/>
              <w:rPr/>
            </w:pPr>
            <w:r>
              <w:rPr/>
              <w:t>24.51</w:t>
            </w:r>
          </w:p>
        </w:tc>
        <w:tc>
          <w:tcPr>
            <w:tcW w:w="1688" w:type="dxa"/>
            <w:gridSpan w:val="2"/>
            <w:tcBorders/>
            <w:shd w:color="auto" w:fill="auto" w:val="clear"/>
            <w:vAlign w:val="bottom"/>
          </w:tcPr>
          <w:p>
            <w:pPr>
              <w:pStyle w:val="Normal"/>
              <w:spacing w:lineRule="auto" w:line="240"/>
              <w:jc w:val="center"/>
              <w:rPr/>
            </w:pPr>
            <w:r>
              <w:rPr/>
              <w:t>0.66</w:t>
            </w:r>
          </w:p>
        </w:tc>
        <w:tc>
          <w:tcPr>
            <w:tcW w:w="1708" w:type="dxa"/>
            <w:gridSpan w:val="3"/>
            <w:tcBorders/>
            <w:shd w:color="auto" w:fill="auto" w:val="clear"/>
            <w:vAlign w:val="bottom"/>
          </w:tcPr>
          <w:p>
            <w:pPr>
              <w:pStyle w:val="Normal"/>
              <w:spacing w:lineRule="auto" w:line="240"/>
              <w:jc w:val="center"/>
              <w:rPr/>
            </w:pPr>
            <w:r>
              <w:rPr/>
              <w:t>17.36</w:t>
            </w:r>
          </w:p>
        </w:tc>
        <w:tc>
          <w:tcPr>
            <w:tcW w:w="1700" w:type="dxa"/>
            <w:gridSpan w:val="2"/>
            <w:tcBorders/>
            <w:shd w:color="auto" w:fill="auto" w:val="clear"/>
            <w:vAlign w:val="bottom"/>
          </w:tcPr>
          <w:p>
            <w:pPr>
              <w:pStyle w:val="Normal"/>
              <w:spacing w:lineRule="auto" w:line="240"/>
              <w:jc w:val="center"/>
              <w:rPr/>
            </w:pPr>
            <w:r>
              <w:rPr/>
              <w:t>0.73</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3</w:t>
            </w:r>
          </w:p>
        </w:tc>
        <w:tc>
          <w:tcPr>
            <w:tcW w:w="1709" w:type="dxa"/>
            <w:gridSpan w:val="2"/>
            <w:tcBorders/>
            <w:shd w:color="auto" w:fill="auto" w:val="clear"/>
            <w:vAlign w:val="bottom"/>
          </w:tcPr>
          <w:p>
            <w:pPr>
              <w:pStyle w:val="Normal"/>
              <w:spacing w:lineRule="auto" w:line="240"/>
              <w:jc w:val="center"/>
              <w:rPr/>
            </w:pPr>
            <w:r>
              <w:rPr/>
              <w:t>11.76</w:t>
            </w:r>
          </w:p>
        </w:tc>
        <w:tc>
          <w:tcPr>
            <w:tcW w:w="1688" w:type="dxa"/>
            <w:gridSpan w:val="2"/>
            <w:tcBorders/>
            <w:shd w:color="auto" w:fill="auto" w:val="clear"/>
            <w:vAlign w:val="bottom"/>
          </w:tcPr>
          <w:p>
            <w:pPr>
              <w:pStyle w:val="Normal"/>
              <w:spacing w:lineRule="auto" w:line="240"/>
              <w:jc w:val="center"/>
              <w:rPr/>
            </w:pPr>
            <w:r>
              <w:rPr/>
              <w:t>0.45</w:t>
            </w:r>
          </w:p>
        </w:tc>
        <w:tc>
          <w:tcPr>
            <w:tcW w:w="1708" w:type="dxa"/>
            <w:gridSpan w:val="3"/>
            <w:tcBorders/>
            <w:shd w:color="auto" w:fill="auto" w:val="clear"/>
            <w:vAlign w:val="bottom"/>
          </w:tcPr>
          <w:p>
            <w:pPr>
              <w:pStyle w:val="Normal"/>
              <w:spacing w:lineRule="auto" w:line="240"/>
              <w:jc w:val="center"/>
              <w:rPr/>
            </w:pPr>
            <w:r>
              <w:rPr/>
              <w:t>10.47</w:t>
            </w:r>
          </w:p>
        </w:tc>
        <w:tc>
          <w:tcPr>
            <w:tcW w:w="1700" w:type="dxa"/>
            <w:gridSpan w:val="2"/>
            <w:tcBorders/>
            <w:shd w:color="auto" w:fill="auto" w:val="clear"/>
            <w:vAlign w:val="bottom"/>
          </w:tcPr>
          <w:p>
            <w:pPr>
              <w:pStyle w:val="Normal"/>
              <w:spacing w:lineRule="auto" w:line="240"/>
              <w:jc w:val="center"/>
              <w:rPr/>
            </w:pPr>
            <w:r>
              <w:rPr/>
              <w:t>0.54</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4</w:t>
            </w:r>
          </w:p>
        </w:tc>
        <w:tc>
          <w:tcPr>
            <w:tcW w:w="1709" w:type="dxa"/>
            <w:gridSpan w:val="2"/>
            <w:tcBorders/>
            <w:shd w:color="auto" w:fill="auto" w:val="clear"/>
            <w:vAlign w:val="bottom"/>
          </w:tcPr>
          <w:p>
            <w:pPr>
              <w:pStyle w:val="Normal"/>
              <w:spacing w:lineRule="auto" w:line="240"/>
              <w:jc w:val="center"/>
              <w:rPr/>
            </w:pPr>
            <w:r>
              <w:rPr/>
              <w:t>32.44</w:t>
            </w:r>
          </w:p>
        </w:tc>
        <w:tc>
          <w:tcPr>
            <w:tcW w:w="1688" w:type="dxa"/>
            <w:gridSpan w:val="2"/>
            <w:tcBorders/>
            <w:shd w:color="auto" w:fill="auto" w:val="clear"/>
            <w:vAlign w:val="bottom"/>
          </w:tcPr>
          <w:p>
            <w:pPr>
              <w:pStyle w:val="Normal"/>
              <w:spacing w:lineRule="auto" w:line="240"/>
              <w:jc w:val="center"/>
              <w:rPr/>
            </w:pPr>
            <w:r>
              <w:rPr/>
              <w:t>0.48</w:t>
            </w:r>
          </w:p>
        </w:tc>
        <w:tc>
          <w:tcPr>
            <w:tcW w:w="1708" w:type="dxa"/>
            <w:gridSpan w:val="3"/>
            <w:tcBorders/>
            <w:shd w:color="auto" w:fill="auto" w:val="clear"/>
            <w:vAlign w:val="bottom"/>
          </w:tcPr>
          <w:p>
            <w:pPr>
              <w:pStyle w:val="Normal"/>
              <w:spacing w:lineRule="auto" w:line="240"/>
              <w:jc w:val="center"/>
              <w:rPr/>
            </w:pPr>
            <w:r>
              <w:rPr/>
              <w:t>44.47</w:t>
            </w:r>
          </w:p>
        </w:tc>
        <w:tc>
          <w:tcPr>
            <w:tcW w:w="1700" w:type="dxa"/>
            <w:gridSpan w:val="2"/>
            <w:tcBorders/>
            <w:shd w:color="auto" w:fill="auto" w:val="clear"/>
            <w:vAlign w:val="bottom"/>
          </w:tcPr>
          <w:p>
            <w:pPr>
              <w:pStyle w:val="Normal"/>
              <w:spacing w:lineRule="auto" w:line="240"/>
              <w:jc w:val="center"/>
              <w:rPr/>
            </w:pPr>
            <w:r>
              <w:rPr/>
              <w:t>0.54</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5</w:t>
            </w:r>
          </w:p>
        </w:tc>
        <w:tc>
          <w:tcPr>
            <w:tcW w:w="1709" w:type="dxa"/>
            <w:gridSpan w:val="2"/>
            <w:tcBorders/>
            <w:shd w:color="auto" w:fill="auto" w:val="clear"/>
            <w:vAlign w:val="bottom"/>
          </w:tcPr>
          <w:p>
            <w:pPr>
              <w:pStyle w:val="Normal"/>
              <w:spacing w:lineRule="auto" w:line="240"/>
              <w:jc w:val="center"/>
              <w:rPr/>
            </w:pPr>
            <w:r>
              <w:rPr/>
              <w:t>18.51</w:t>
            </w:r>
          </w:p>
        </w:tc>
        <w:tc>
          <w:tcPr>
            <w:tcW w:w="1688" w:type="dxa"/>
            <w:gridSpan w:val="2"/>
            <w:tcBorders/>
            <w:shd w:color="auto" w:fill="auto" w:val="clear"/>
            <w:vAlign w:val="bottom"/>
          </w:tcPr>
          <w:p>
            <w:pPr>
              <w:pStyle w:val="Normal"/>
              <w:spacing w:lineRule="auto" w:line="240"/>
              <w:jc w:val="center"/>
              <w:rPr/>
            </w:pPr>
            <w:r>
              <w:rPr/>
              <w:t>0.47</w:t>
            </w:r>
          </w:p>
        </w:tc>
        <w:tc>
          <w:tcPr>
            <w:tcW w:w="1708" w:type="dxa"/>
            <w:gridSpan w:val="3"/>
            <w:tcBorders/>
            <w:shd w:color="auto" w:fill="auto" w:val="clear"/>
            <w:vAlign w:val="bottom"/>
          </w:tcPr>
          <w:p>
            <w:pPr>
              <w:pStyle w:val="Normal"/>
              <w:spacing w:lineRule="auto" w:line="240"/>
              <w:jc w:val="center"/>
              <w:rPr/>
            </w:pPr>
            <w:r>
              <w:rPr/>
              <w:t>16.80</w:t>
            </w:r>
          </w:p>
        </w:tc>
        <w:tc>
          <w:tcPr>
            <w:tcW w:w="1700" w:type="dxa"/>
            <w:gridSpan w:val="2"/>
            <w:tcBorders/>
            <w:shd w:color="auto" w:fill="auto" w:val="clear"/>
            <w:vAlign w:val="bottom"/>
          </w:tcPr>
          <w:p>
            <w:pPr>
              <w:pStyle w:val="Normal"/>
              <w:spacing w:lineRule="auto" w:line="240"/>
              <w:jc w:val="center"/>
              <w:rPr/>
            </w:pPr>
            <w:r>
              <w:rPr/>
              <w:t>0.65</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6</w:t>
            </w:r>
          </w:p>
        </w:tc>
        <w:tc>
          <w:tcPr>
            <w:tcW w:w="1709" w:type="dxa"/>
            <w:gridSpan w:val="2"/>
            <w:tcBorders/>
            <w:shd w:color="auto" w:fill="auto" w:val="clear"/>
            <w:vAlign w:val="bottom"/>
          </w:tcPr>
          <w:p>
            <w:pPr>
              <w:pStyle w:val="Normal"/>
              <w:spacing w:lineRule="auto" w:line="240"/>
              <w:jc w:val="center"/>
              <w:rPr/>
            </w:pPr>
            <w:r>
              <w:rPr/>
              <w:t>12.90</w:t>
            </w:r>
          </w:p>
        </w:tc>
        <w:tc>
          <w:tcPr>
            <w:tcW w:w="1688" w:type="dxa"/>
            <w:gridSpan w:val="2"/>
            <w:tcBorders/>
            <w:shd w:color="auto" w:fill="auto" w:val="clear"/>
            <w:vAlign w:val="bottom"/>
          </w:tcPr>
          <w:p>
            <w:pPr>
              <w:pStyle w:val="Normal"/>
              <w:spacing w:lineRule="auto" w:line="240"/>
              <w:jc w:val="center"/>
              <w:rPr/>
            </w:pPr>
            <w:r>
              <w:rPr/>
              <w:t>0.27</w:t>
            </w:r>
          </w:p>
        </w:tc>
        <w:tc>
          <w:tcPr>
            <w:tcW w:w="1708" w:type="dxa"/>
            <w:gridSpan w:val="3"/>
            <w:tcBorders/>
            <w:shd w:color="auto" w:fill="auto" w:val="clear"/>
            <w:vAlign w:val="bottom"/>
          </w:tcPr>
          <w:p>
            <w:pPr>
              <w:pStyle w:val="Normal"/>
              <w:spacing w:lineRule="auto" w:line="240"/>
              <w:jc w:val="center"/>
              <w:rPr/>
            </w:pPr>
            <w:r>
              <w:rPr/>
              <w:t>8.86</w:t>
            </w:r>
          </w:p>
        </w:tc>
        <w:tc>
          <w:tcPr>
            <w:tcW w:w="1700" w:type="dxa"/>
            <w:gridSpan w:val="2"/>
            <w:tcBorders/>
            <w:shd w:color="auto" w:fill="auto" w:val="clear"/>
            <w:vAlign w:val="bottom"/>
          </w:tcPr>
          <w:p>
            <w:pPr>
              <w:pStyle w:val="Normal"/>
              <w:spacing w:lineRule="auto" w:line="240"/>
              <w:jc w:val="center"/>
              <w:rPr/>
            </w:pPr>
            <w:r>
              <w:rPr/>
              <w:t>0.23</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7</w:t>
            </w:r>
          </w:p>
        </w:tc>
        <w:tc>
          <w:tcPr>
            <w:tcW w:w="1709" w:type="dxa"/>
            <w:gridSpan w:val="2"/>
            <w:tcBorders/>
            <w:shd w:color="auto" w:fill="auto" w:val="clear"/>
            <w:vAlign w:val="bottom"/>
          </w:tcPr>
          <w:p>
            <w:pPr>
              <w:pStyle w:val="Normal"/>
              <w:spacing w:lineRule="auto" w:line="240"/>
              <w:jc w:val="center"/>
              <w:rPr/>
            </w:pPr>
            <w:r>
              <w:rPr/>
              <w:t>12.17</w:t>
            </w:r>
          </w:p>
        </w:tc>
        <w:tc>
          <w:tcPr>
            <w:tcW w:w="1688" w:type="dxa"/>
            <w:gridSpan w:val="2"/>
            <w:tcBorders/>
            <w:shd w:color="auto" w:fill="auto" w:val="clear"/>
            <w:vAlign w:val="bottom"/>
          </w:tcPr>
          <w:p>
            <w:pPr>
              <w:pStyle w:val="Normal"/>
              <w:spacing w:lineRule="auto" w:line="240"/>
              <w:jc w:val="center"/>
              <w:rPr/>
            </w:pPr>
            <w:r>
              <w:rPr/>
              <w:t>0.65</w:t>
            </w:r>
          </w:p>
        </w:tc>
        <w:tc>
          <w:tcPr>
            <w:tcW w:w="1708" w:type="dxa"/>
            <w:gridSpan w:val="3"/>
            <w:tcBorders/>
            <w:shd w:color="auto" w:fill="auto" w:val="clear"/>
            <w:vAlign w:val="bottom"/>
          </w:tcPr>
          <w:p>
            <w:pPr>
              <w:pStyle w:val="Normal"/>
              <w:spacing w:lineRule="auto" w:line="240"/>
              <w:jc w:val="center"/>
              <w:rPr/>
            </w:pPr>
            <w:r>
              <w:rPr/>
              <w:t>9.11</w:t>
            </w:r>
          </w:p>
        </w:tc>
        <w:tc>
          <w:tcPr>
            <w:tcW w:w="1700" w:type="dxa"/>
            <w:gridSpan w:val="2"/>
            <w:tcBorders/>
            <w:shd w:color="auto" w:fill="auto" w:val="clear"/>
            <w:vAlign w:val="bottom"/>
          </w:tcPr>
          <w:p>
            <w:pPr>
              <w:pStyle w:val="Normal"/>
              <w:spacing w:lineRule="auto" w:line="240"/>
              <w:jc w:val="center"/>
              <w:rPr/>
            </w:pPr>
            <w:r>
              <w:rPr/>
              <w:t>0.69</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8</w:t>
            </w:r>
          </w:p>
        </w:tc>
        <w:tc>
          <w:tcPr>
            <w:tcW w:w="1709" w:type="dxa"/>
            <w:gridSpan w:val="2"/>
            <w:tcBorders/>
            <w:shd w:color="auto" w:fill="auto" w:val="clear"/>
            <w:vAlign w:val="bottom"/>
          </w:tcPr>
          <w:p>
            <w:pPr>
              <w:pStyle w:val="Normal"/>
              <w:spacing w:lineRule="auto" w:line="240"/>
              <w:jc w:val="center"/>
              <w:rPr/>
            </w:pPr>
            <w:r>
              <w:rPr/>
              <w:t>37.43</w:t>
            </w:r>
          </w:p>
        </w:tc>
        <w:tc>
          <w:tcPr>
            <w:tcW w:w="1688" w:type="dxa"/>
            <w:gridSpan w:val="2"/>
            <w:tcBorders/>
            <w:shd w:color="auto" w:fill="auto" w:val="clear"/>
            <w:vAlign w:val="bottom"/>
          </w:tcPr>
          <w:p>
            <w:pPr>
              <w:pStyle w:val="Normal"/>
              <w:spacing w:lineRule="auto" w:line="240"/>
              <w:jc w:val="center"/>
              <w:rPr/>
            </w:pPr>
            <w:r>
              <w:rPr/>
              <w:t>0.87</w:t>
            </w:r>
          </w:p>
        </w:tc>
        <w:tc>
          <w:tcPr>
            <w:tcW w:w="1708" w:type="dxa"/>
            <w:gridSpan w:val="3"/>
            <w:tcBorders/>
            <w:shd w:color="auto" w:fill="auto" w:val="clear"/>
            <w:vAlign w:val="bottom"/>
          </w:tcPr>
          <w:p>
            <w:pPr>
              <w:pStyle w:val="Normal"/>
              <w:spacing w:lineRule="auto" w:line="240"/>
              <w:jc w:val="center"/>
              <w:rPr/>
            </w:pPr>
            <w:r>
              <w:rPr/>
              <w:t>42.93</w:t>
            </w:r>
          </w:p>
        </w:tc>
        <w:tc>
          <w:tcPr>
            <w:tcW w:w="1700" w:type="dxa"/>
            <w:gridSpan w:val="2"/>
            <w:tcBorders/>
            <w:shd w:color="auto" w:fill="auto" w:val="clear"/>
            <w:vAlign w:val="bottom"/>
          </w:tcPr>
          <w:p>
            <w:pPr>
              <w:pStyle w:val="Normal"/>
              <w:spacing w:lineRule="auto" w:line="240"/>
              <w:jc w:val="center"/>
              <w:rPr/>
            </w:pPr>
            <w:r>
              <w:rPr/>
              <w:t>0.89</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9</w:t>
            </w:r>
          </w:p>
        </w:tc>
        <w:tc>
          <w:tcPr>
            <w:tcW w:w="1709" w:type="dxa"/>
            <w:gridSpan w:val="2"/>
            <w:tcBorders/>
            <w:shd w:color="auto" w:fill="auto" w:val="clear"/>
            <w:vAlign w:val="bottom"/>
          </w:tcPr>
          <w:p>
            <w:pPr>
              <w:pStyle w:val="Normal"/>
              <w:spacing w:lineRule="auto" w:line="240"/>
              <w:jc w:val="center"/>
              <w:rPr/>
            </w:pPr>
            <w:r>
              <w:rPr/>
              <w:t>0.57</w:t>
            </w:r>
          </w:p>
        </w:tc>
        <w:tc>
          <w:tcPr>
            <w:tcW w:w="1688" w:type="dxa"/>
            <w:gridSpan w:val="2"/>
            <w:tcBorders/>
            <w:shd w:color="auto" w:fill="auto" w:val="clear"/>
            <w:vAlign w:val="bottom"/>
          </w:tcPr>
          <w:p>
            <w:pPr>
              <w:pStyle w:val="Normal"/>
              <w:spacing w:lineRule="auto" w:line="240"/>
              <w:jc w:val="center"/>
              <w:rPr/>
            </w:pPr>
            <w:r>
              <w:rPr/>
              <w:t>0.29</w:t>
            </w:r>
          </w:p>
        </w:tc>
        <w:tc>
          <w:tcPr>
            <w:tcW w:w="1708" w:type="dxa"/>
            <w:gridSpan w:val="3"/>
            <w:tcBorders/>
            <w:shd w:color="auto" w:fill="auto" w:val="clear"/>
            <w:vAlign w:val="bottom"/>
          </w:tcPr>
          <w:p>
            <w:pPr>
              <w:pStyle w:val="Normal"/>
              <w:spacing w:lineRule="auto" w:line="240"/>
              <w:jc w:val="center"/>
              <w:rPr/>
            </w:pPr>
            <w:r>
              <w:rPr/>
              <w:t>0.10</w:t>
            </w:r>
          </w:p>
        </w:tc>
        <w:tc>
          <w:tcPr>
            <w:tcW w:w="1700" w:type="dxa"/>
            <w:gridSpan w:val="2"/>
            <w:tcBorders/>
            <w:shd w:color="auto" w:fill="auto" w:val="clear"/>
            <w:vAlign w:val="bottom"/>
          </w:tcPr>
          <w:p>
            <w:pPr>
              <w:pStyle w:val="Normal"/>
              <w:spacing w:lineRule="auto" w:line="240"/>
              <w:jc w:val="center"/>
              <w:rPr/>
            </w:pPr>
            <w:r>
              <w:rPr/>
              <w:t>1.00</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10</w:t>
            </w:r>
          </w:p>
        </w:tc>
        <w:tc>
          <w:tcPr>
            <w:tcW w:w="1709" w:type="dxa"/>
            <w:gridSpan w:val="2"/>
            <w:tcBorders/>
            <w:shd w:color="auto" w:fill="auto" w:val="clear"/>
            <w:vAlign w:val="bottom"/>
          </w:tcPr>
          <w:p>
            <w:pPr>
              <w:pStyle w:val="Normal"/>
              <w:spacing w:lineRule="auto" w:line="240"/>
              <w:jc w:val="center"/>
              <w:rPr/>
            </w:pPr>
            <w:r>
              <w:rPr/>
              <w:t>49.40</w:t>
            </w:r>
          </w:p>
        </w:tc>
        <w:tc>
          <w:tcPr>
            <w:tcW w:w="1688" w:type="dxa"/>
            <w:gridSpan w:val="2"/>
            <w:tcBorders/>
            <w:shd w:color="auto" w:fill="auto" w:val="clear"/>
            <w:vAlign w:val="bottom"/>
          </w:tcPr>
          <w:p>
            <w:pPr>
              <w:pStyle w:val="Normal"/>
              <w:spacing w:lineRule="auto" w:line="240"/>
              <w:jc w:val="center"/>
              <w:rPr/>
            </w:pPr>
            <w:r>
              <w:rPr/>
              <w:t>0.87</w:t>
            </w:r>
          </w:p>
        </w:tc>
        <w:tc>
          <w:tcPr>
            <w:tcW w:w="1708" w:type="dxa"/>
            <w:gridSpan w:val="3"/>
            <w:tcBorders/>
            <w:shd w:color="auto" w:fill="auto" w:val="clear"/>
            <w:vAlign w:val="bottom"/>
          </w:tcPr>
          <w:p>
            <w:pPr>
              <w:pStyle w:val="Normal"/>
              <w:spacing w:lineRule="auto" w:line="240"/>
              <w:jc w:val="center"/>
              <w:rPr/>
            </w:pPr>
            <w:r>
              <w:rPr/>
              <w:t>49.08</w:t>
            </w:r>
          </w:p>
        </w:tc>
        <w:tc>
          <w:tcPr>
            <w:tcW w:w="1700" w:type="dxa"/>
            <w:gridSpan w:val="2"/>
            <w:tcBorders/>
            <w:shd w:color="auto" w:fill="auto" w:val="clear"/>
            <w:vAlign w:val="bottom"/>
          </w:tcPr>
          <w:p>
            <w:pPr>
              <w:pStyle w:val="Normal"/>
              <w:spacing w:lineRule="auto" w:line="240"/>
              <w:jc w:val="center"/>
              <w:rPr/>
            </w:pPr>
            <w:r>
              <w:rPr/>
              <w:t>0.87</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11</w:t>
            </w:r>
          </w:p>
        </w:tc>
        <w:tc>
          <w:tcPr>
            <w:tcW w:w="1709" w:type="dxa"/>
            <w:gridSpan w:val="2"/>
            <w:tcBorders/>
            <w:shd w:color="auto" w:fill="auto" w:val="clear"/>
            <w:vAlign w:val="bottom"/>
          </w:tcPr>
          <w:p>
            <w:pPr>
              <w:pStyle w:val="Normal"/>
              <w:spacing w:lineRule="auto" w:line="240"/>
              <w:jc w:val="center"/>
              <w:rPr/>
            </w:pPr>
            <w:r>
              <w:rPr/>
              <w:t>7.90</w:t>
            </w:r>
          </w:p>
        </w:tc>
        <w:tc>
          <w:tcPr>
            <w:tcW w:w="1688" w:type="dxa"/>
            <w:gridSpan w:val="2"/>
            <w:tcBorders/>
            <w:shd w:color="auto" w:fill="auto" w:val="clear"/>
            <w:vAlign w:val="bottom"/>
          </w:tcPr>
          <w:p>
            <w:pPr>
              <w:pStyle w:val="Normal"/>
              <w:spacing w:lineRule="auto" w:line="240"/>
              <w:jc w:val="center"/>
              <w:rPr/>
            </w:pPr>
            <w:r>
              <w:rPr/>
              <w:t>0.35</w:t>
            </w:r>
          </w:p>
        </w:tc>
        <w:tc>
          <w:tcPr>
            <w:tcW w:w="1708" w:type="dxa"/>
            <w:gridSpan w:val="3"/>
            <w:tcBorders/>
            <w:shd w:color="auto" w:fill="auto" w:val="clear"/>
            <w:vAlign w:val="bottom"/>
          </w:tcPr>
          <w:p>
            <w:pPr>
              <w:pStyle w:val="Normal"/>
              <w:spacing w:lineRule="auto" w:line="240"/>
              <w:jc w:val="center"/>
              <w:rPr/>
            </w:pPr>
            <w:r>
              <w:rPr/>
              <w:t>13.10</w:t>
            </w:r>
          </w:p>
        </w:tc>
        <w:tc>
          <w:tcPr>
            <w:tcW w:w="1700" w:type="dxa"/>
            <w:gridSpan w:val="2"/>
            <w:tcBorders/>
            <w:shd w:color="auto" w:fill="auto" w:val="clear"/>
            <w:vAlign w:val="bottom"/>
          </w:tcPr>
          <w:p>
            <w:pPr>
              <w:pStyle w:val="Normal"/>
              <w:spacing w:lineRule="auto" w:line="240"/>
              <w:jc w:val="center"/>
              <w:rPr/>
            </w:pPr>
            <w:r>
              <w:rPr/>
              <w:t>0.39</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12</w:t>
            </w:r>
          </w:p>
        </w:tc>
        <w:tc>
          <w:tcPr>
            <w:tcW w:w="1709" w:type="dxa"/>
            <w:gridSpan w:val="2"/>
            <w:tcBorders/>
            <w:shd w:color="auto" w:fill="auto" w:val="clear"/>
            <w:vAlign w:val="bottom"/>
          </w:tcPr>
          <w:p>
            <w:pPr>
              <w:pStyle w:val="Normal"/>
              <w:spacing w:lineRule="auto" w:line="240"/>
              <w:jc w:val="center"/>
              <w:rPr/>
            </w:pPr>
            <w:r>
              <w:rPr/>
              <w:t>36.72</w:t>
            </w:r>
          </w:p>
        </w:tc>
        <w:tc>
          <w:tcPr>
            <w:tcW w:w="1688" w:type="dxa"/>
            <w:gridSpan w:val="2"/>
            <w:tcBorders/>
            <w:shd w:color="auto" w:fill="auto" w:val="clear"/>
            <w:vAlign w:val="bottom"/>
          </w:tcPr>
          <w:p>
            <w:pPr>
              <w:pStyle w:val="Normal"/>
              <w:spacing w:lineRule="auto" w:line="240"/>
              <w:jc w:val="center"/>
              <w:rPr/>
            </w:pPr>
            <w:r>
              <w:rPr/>
              <w:t>0.73</w:t>
            </w:r>
          </w:p>
        </w:tc>
        <w:tc>
          <w:tcPr>
            <w:tcW w:w="1708" w:type="dxa"/>
            <w:gridSpan w:val="3"/>
            <w:tcBorders/>
            <w:shd w:color="auto" w:fill="auto" w:val="clear"/>
            <w:vAlign w:val="bottom"/>
          </w:tcPr>
          <w:p>
            <w:pPr>
              <w:pStyle w:val="Normal"/>
              <w:spacing w:lineRule="auto" w:line="240"/>
              <w:jc w:val="center"/>
              <w:rPr/>
            </w:pPr>
            <w:r>
              <w:rPr/>
              <w:t>46.67</w:t>
            </w:r>
          </w:p>
        </w:tc>
        <w:tc>
          <w:tcPr>
            <w:tcW w:w="1700" w:type="dxa"/>
            <w:gridSpan w:val="2"/>
            <w:tcBorders/>
            <w:shd w:color="auto" w:fill="auto" w:val="clear"/>
            <w:vAlign w:val="bottom"/>
          </w:tcPr>
          <w:p>
            <w:pPr>
              <w:pStyle w:val="Normal"/>
              <w:spacing w:lineRule="auto" w:line="240"/>
              <w:jc w:val="center"/>
              <w:rPr/>
            </w:pPr>
            <w:r>
              <w:rPr/>
              <w:t>0.69</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15</w:t>
            </w:r>
          </w:p>
        </w:tc>
        <w:tc>
          <w:tcPr>
            <w:tcW w:w="1709" w:type="dxa"/>
            <w:gridSpan w:val="2"/>
            <w:tcBorders/>
            <w:shd w:color="auto" w:fill="auto" w:val="clear"/>
            <w:vAlign w:val="bottom"/>
          </w:tcPr>
          <w:p>
            <w:pPr>
              <w:pStyle w:val="Normal"/>
              <w:spacing w:lineRule="auto" w:line="240"/>
              <w:jc w:val="center"/>
              <w:rPr/>
            </w:pPr>
            <w:r>
              <w:rPr/>
              <w:t>5.39</w:t>
            </w:r>
          </w:p>
        </w:tc>
        <w:tc>
          <w:tcPr>
            <w:tcW w:w="1688" w:type="dxa"/>
            <w:gridSpan w:val="2"/>
            <w:tcBorders/>
            <w:shd w:color="auto" w:fill="auto" w:val="clear"/>
            <w:vAlign w:val="bottom"/>
          </w:tcPr>
          <w:p>
            <w:pPr>
              <w:pStyle w:val="Normal"/>
              <w:spacing w:lineRule="auto" w:line="240"/>
              <w:jc w:val="center"/>
              <w:rPr/>
            </w:pPr>
            <w:r>
              <w:rPr/>
              <w:t>0.13</w:t>
            </w:r>
          </w:p>
        </w:tc>
        <w:tc>
          <w:tcPr>
            <w:tcW w:w="1708" w:type="dxa"/>
            <w:gridSpan w:val="3"/>
            <w:tcBorders/>
            <w:shd w:color="auto" w:fill="auto" w:val="clear"/>
            <w:vAlign w:val="bottom"/>
          </w:tcPr>
          <w:p>
            <w:pPr>
              <w:pStyle w:val="Normal"/>
              <w:spacing w:lineRule="auto" w:line="240"/>
              <w:jc w:val="center"/>
              <w:rPr/>
            </w:pPr>
            <w:r>
              <w:rPr/>
              <w:t>85.49</w:t>
            </w:r>
          </w:p>
        </w:tc>
        <w:tc>
          <w:tcPr>
            <w:tcW w:w="1700" w:type="dxa"/>
            <w:gridSpan w:val="2"/>
            <w:tcBorders/>
            <w:shd w:color="auto" w:fill="auto" w:val="clear"/>
            <w:vAlign w:val="bottom"/>
          </w:tcPr>
          <w:p>
            <w:pPr>
              <w:pStyle w:val="Normal"/>
              <w:spacing w:lineRule="auto" w:line="240"/>
              <w:jc w:val="center"/>
              <w:rPr/>
            </w:pPr>
            <w:r>
              <w:rPr/>
              <w:t>0.04</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16</w:t>
            </w:r>
          </w:p>
        </w:tc>
        <w:tc>
          <w:tcPr>
            <w:tcW w:w="1709" w:type="dxa"/>
            <w:gridSpan w:val="2"/>
            <w:tcBorders/>
            <w:shd w:color="auto" w:fill="auto" w:val="clear"/>
            <w:vAlign w:val="bottom"/>
          </w:tcPr>
          <w:p>
            <w:pPr>
              <w:pStyle w:val="Normal"/>
              <w:spacing w:lineRule="auto" w:line="240"/>
              <w:jc w:val="center"/>
              <w:rPr/>
            </w:pPr>
            <w:r>
              <w:rPr/>
              <w:t>15.53</w:t>
            </w:r>
          </w:p>
        </w:tc>
        <w:tc>
          <w:tcPr>
            <w:tcW w:w="1688" w:type="dxa"/>
            <w:gridSpan w:val="2"/>
            <w:tcBorders/>
            <w:shd w:color="auto" w:fill="auto" w:val="clear"/>
            <w:vAlign w:val="bottom"/>
          </w:tcPr>
          <w:p>
            <w:pPr>
              <w:pStyle w:val="Normal"/>
              <w:spacing w:lineRule="auto" w:line="240"/>
              <w:jc w:val="center"/>
              <w:rPr/>
            </w:pPr>
            <w:r>
              <w:rPr/>
              <w:t>0.55</w:t>
            </w:r>
          </w:p>
        </w:tc>
        <w:tc>
          <w:tcPr>
            <w:tcW w:w="1708" w:type="dxa"/>
            <w:gridSpan w:val="3"/>
            <w:tcBorders/>
            <w:shd w:color="auto" w:fill="auto" w:val="clear"/>
            <w:vAlign w:val="bottom"/>
          </w:tcPr>
          <w:p>
            <w:pPr>
              <w:pStyle w:val="Normal"/>
              <w:spacing w:lineRule="auto" w:line="240"/>
              <w:jc w:val="center"/>
              <w:rPr/>
            </w:pPr>
            <w:r>
              <w:rPr/>
              <w:t>11.01</w:t>
            </w:r>
          </w:p>
        </w:tc>
        <w:tc>
          <w:tcPr>
            <w:tcW w:w="1700" w:type="dxa"/>
            <w:gridSpan w:val="2"/>
            <w:tcBorders/>
            <w:shd w:color="auto" w:fill="auto" w:val="clear"/>
            <w:vAlign w:val="bottom"/>
          </w:tcPr>
          <w:p>
            <w:pPr>
              <w:pStyle w:val="Normal"/>
              <w:spacing w:lineRule="auto" w:line="240"/>
              <w:jc w:val="center"/>
              <w:rPr/>
            </w:pPr>
            <w:r>
              <w:rPr/>
              <w:t>0.64</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17</w:t>
            </w:r>
          </w:p>
        </w:tc>
        <w:tc>
          <w:tcPr>
            <w:tcW w:w="1709" w:type="dxa"/>
            <w:gridSpan w:val="2"/>
            <w:tcBorders/>
            <w:shd w:color="auto" w:fill="auto" w:val="clear"/>
            <w:vAlign w:val="bottom"/>
          </w:tcPr>
          <w:p>
            <w:pPr>
              <w:pStyle w:val="Normal"/>
              <w:spacing w:lineRule="auto" w:line="240"/>
              <w:jc w:val="center"/>
              <w:rPr/>
            </w:pPr>
            <w:r>
              <w:rPr/>
              <w:t>0.27</w:t>
            </w:r>
          </w:p>
        </w:tc>
        <w:tc>
          <w:tcPr>
            <w:tcW w:w="1688" w:type="dxa"/>
            <w:gridSpan w:val="2"/>
            <w:tcBorders/>
            <w:shd w:color="auto" w:fill="auto" w:val="clear"/>
            <w:vAlign w:val="bottom"/>
          </w:tcPr>
          <w:p>
            <w:pPr>
              <w:pStyle w:val="Normal"/>
              <w:spacing w:lineRule="auto" w:line="240"/>
              <w:jc w:val="center"/>
              <w:rPr/>
            </w:pPr>
            <w:r>
              <w:rPr/>
              <w:t>0.64</w:t>
            </w:r>
          </w:p>
        </w:tc>
        <w:tc>
          <w:tcPr>
            <w:tcW w:w="1708" w:type="dxa"/>
            <w:gridSpan w:val="3"/>
            <w:tcBorders/>
            <w:shd w:color="auto" w:fill="auto" w:val="clear"/>
            <w:vAlign w:val="bottom"/>
          </w:tcPr>
          <w:p>
            <w:pPr>
              <w:pStyle w:val="Normal"/>
              <w:spacing w:lineRule="auto" w:line="240"/>
              <w:jc w:val="center"/>
              <w:rPr/>
            </w:pPr>
            <w:r>
              <w:rPr/>
              <w:t>5.81</w:t>
            </w:r>
          </w:p>
        </w:tc>
        <w:tc>
          <w:tcPr>
            <w:tcW w:w="1700" w:type="dxa"/>
            <w:gridSpan w:val="2"/>
            <w:tcBorders/>
            <w:shd w:color="auto" w:fill="auto" w:val="clear"/>
            <w:vAlign w:val="bottom"/>
          </w:tcPr>
          <w:p>
            <w:pPr>
              <w:pStyle w:val="Normal"/>
              <w:spacing w:lineRule="auto" w:line="240"/>
              <w:jc w:val="center"/>
              <w:rPr/>
            </w:pPr>
            <w:r>
              <w:rPr/>
              <w:t>0.10</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18</w:t>
            </w:r>
          </w:p>
        </w:tc>
        <w:tc>
          <w:tcPr>
            <w:tcW w:w="1709" w:type="dxa"/>
            <w:gridSpan w:val="2"/>
            <w:tcBorders/>
            <w:shd w:color="auto" w:fill="auto" w:val="clear"/>
            <w:vAlign w:val="bottom"/>
          </w:tcPr>
          <w:p>
            <w:pPr>
              <w:pStyle w:val="Normal"/>
              <w:spacing w:lineRule="auto" w:line="240"/>
              <w:jc w:val="center"/>
              <w:rPr/>
            </w:pPr>
            <w:r>
              <w:rPr/>
              <w:t>9.77</w:t>
            </w:r>
          </w:p>
        </w:tc>
        <w:tc>
          <w:tcPr>
            <w:tcW w:w="1688" w:type="dxa"/>
            <w:gridSpan w:val="2"/>
            <w:tcBorders/>
            <w:shd w:color="auto" w:fill="auto" w:val="clear"/>
            <w:vAlign w:val="bottom"/>
          </w:tcPr>
          <w:p>
            <w:pPr>
              <w:pStyle w:val="Normal"/>
              <w:spacing w:lineRule="auto" w:line="240"/>
              <w:jc w:val="center"/>
              <w:rPr/>
            </w:pPr>
            <w:r>
              <w:rPr/>
              <w:t>0.69</w:t>
            </w:r>
          </w:p>
        </w:tc>
        <w:tc>
          <w:tcPr>
            <w:tcW w:w="1708" w:type="dxa"/>
            <w:gridSpan w:val="3"/>
            <w:tcBorders/>
            <w:shd w:color="auto" w:fill="auto" w:val="clear"/>
            <w:vAlign w:val="bottom"/>
          </w:tcPr>
          <w:p>
            <w:pPr>
              <w:pStyle w:val="Normal"/>
              <w:spacing w:lineRule="auto" w:line="240"/>
              <w:jc w:val="center"/>
              <w:rPr/>
            </w:pPr>
            <w:r>
              <w:rPr/>
              <w:t>27.61</w:t>
            </w:r>
          </w:p>
        </w:tc>
        <w:tc>
          <w:tcPr>
            <w:tcW w:w="1700" w:type="dxa"/>
            <w:gridSpan w:val="2"/>
            <w:tcBorders/>
            <w:shd w:color="auto" w:fill="auto" w:val="clear"/>
            <w:vAlign w:val="bottom"/>
          </w:tcPr>
          <w:p>
            <w:pPr>
              <w:pStyle w:val="Normal"/>
              <w:spacing w:lineRule="auto" w:line="240"/>
              <w:jc w:val="center"/>
              <w:rPr/>
            </w:pPr>
            <w:r>
              <w:rPr/>
              <w:t>0.59</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19</w:t>
            </w:r>
          </w:p>
        </w:tc>
        <w:tc>
          <w:tcPr>
            <w:tcW w:w="1709" w:type="dxa"/>
            <w:gridSpan w:val="2"/>
            <w:tcBorders/>
            <w:shd w:color="auto" w:fill="auto" w:val="clear"/>
            <w:vAlign w:val="bottom"/>
          </w:tcPr>
          <w:p>
            <w:pPr>
              <w:pStyle w:val="Normal"/>
              <w:spacing w:lineRule="auto" w:line="240"/>
              <w:jc w:val="center"/>
              <w:rPr/>
            </w:pPr>
            <w:r>
              <w:rPr/>
              <w:t>14.27</w:t>
            </w:r>
          </w:p>
        </w:tc>
        <w:tc>
          <w:tcPr>
            <w:tcW w:w="1688" w:type="dxa"/>
            <w:gridSpan w:val="2"/>
            <w:tcBorders/>
            <w:shd w:color="auto" w:fill="auto" w:val="clear"/>
            <w:vAlign w:val="bottom"/>
          </w:tcPr>
          <w:p>
            <w:pPr>
              <w:pStyle w:val="Normal"/>
              <w:spacing w:lineRule="auto" w:line="240"/>
              <w:jc w:val="center"/>
              <w:rPr/>
            </w:pPr>
            <w:r>
              <w:rPr/>
              <w:t>0.19</w:t>
            </w:r>
          </w:p>
        </w:tc>
        <w:tc>
          <w:tcPr>
            <w:tcW w:w="1708" w:type="dxa"/>
            <w:gridSpan w:val="3"/>
            <w:tcBorders/>
            <w:shd w:color="auto" w:fill="auto" w:val="clear"/>
            <w:vAlign w:val="bottom"/>
          </w:tcPr>
          <w:p>
            <w:pPr>
              <w:pStyle w:val="Normal"/>
              <w:spacing w:lineRule="auto" w:line="240"/>
              <w:jc w:val="center"/>
              <w:rPr/>
            </w:pPr>
            <w:r>
              <w:rPr/>
              <w:t>5.45</w:t>
            </w:r>
          </w:p>
        </w:tc>
        <w:tc>
          <w:tcPr>
            <w:tcW w:w="1700" w:type="dxa"/>
            <w:gridSpan w:val="2"/>
            <w:tcBorders/>
            <w:shd w:color="auto" w:fill="auto" w:val="clear"/>
            <w:vAlign w:val="bottom"/>
          </w:tcPr>
          <w:p>
            <w:pPr>
              <w:pStyle w:val="Normal"/>
              <w:spacing w:lineRule="auto" w:line="240"/>
              <w:jc w:val="center"/>
              <w:rPr/>
            </w:pPr>
            <w:r>
              <w:rPr/>
              <w:t>0.32</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20</w:t>
            </w:r>
          </w:p>
        </w:tc>
        <w:tc>
          <w:tcPr>
            <w:tcW w:w="1709" w:type="dxa"/>
            <w:gridSpan w:val="2"/>
            <w:tcBorders/>
            <w:shd w:color="auto" w:fill="auto" w:val="clear"/>
            <w:vAlign w:val="bottom"/>
          </w:tcPr>
          <w:p>
            <w:pPr>
              <w:pStyle w:val="Normal"/>
              <w:spacing w:lineRule="auto" w:line="240"/>
              <w:jc w:val="center"/>
              <w:rPr/>
            </w:pPr>
            <w:r>
              <w:rPr/>
              <w:t>20.61</w:t>
            </w:r>
          </w:p>
        </w:tc>
        <w:tc>
          <w:tcPr>
            <w:tcW w:w="1688" w:type="dxa"/>
            <w:gridSpan w:val="2"/>
            <w:tcBorders/>
            <w:shd w:color="auto" w:fill="auto" w:val="clear"/>
            <w:vAlign w:val="bottom"/>
          </w:tcPr>
          <w:p>
            <w:pPr>
              <w:pStyle w:val="Normal"/>
              <w:spacing w:lineRule="auto" w:line="240"/>
              <w:jc w:val="center"/>
              <w:rPr/>
            </w:pPr>
            <w:r>
              <w:rPr/>
              <w:t>0.15</w:t>
            </w:r>
          </w:p>
        </w:tc>
        <w:tc>
          <w:tcPr>
            <w:tcW w:w="1708" w:type="dxa"/>
            <w:gridSpan w:val="3"/>
            <w:tcBorders/>
            <w:shd w:color="auto" w:fill="auto" w:val="clear"/>
            <w:vAlign w:val="bottom"/>
          </w:tcPr>
          <w:p>
            <w:pPr>
              <w:pStyle w:val="Normal"/>
              <w:spacing w:lineRule="auto" w:line="240"/>
              <w:jc w:val="center"/>
              <w:rPr/>
            </w:pPr>
            <w:r>
              <w:rPr/>
              <w:t>10.15</w:t>
            </w:r>
          </w:p>
        </w:tc>
        <w:tc>
          <w:tcPr>
            <w:tcW w:w="1700" w:type="dxa"/>
            <w:gridSpan w:val="2"/>
            <w:tcBorders/>
            <w:shd w:color="auto" w:fill="auto" w:val="clear"/>
            <w:vAlign w:val="bottom"/>
          </w:tcPr>
          <w:p>
            <w:pPr>
              <w:pStyle w:val="Normal"/>
              <w:spacing w:lineRule="auto" w:line="240"/>
              <w:jc w:val="center"/>
              <w:rPr/>
            </w:pPr>
            <w:r>
              <w:rPr/>
              <w:t>0.25</w:t>
            </w:r>
          </w:p>
        </w:tc>
      </w:tr>
      <w:tr>
        <w:trPr>
          <w:trHeight w:val="273" w:hRule="atLeast"/>
        </w:trPr>
        <w:tc>
          <w:tcPr>
            <w:tcW w:w="2000"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r>
          </w:p>
        </w:tc>
        <w:tc>
          <w:tcPr>
            <w:tcW w:w="1709" w:type="dxa"/>
            <w:gridSpan w:val="2"/>
            <w:tcBorders/>
            <w:shd w:color="auto" w:fill="auto" w:val="clear"/>
            <w:vAlign w:val="bottom"/>
          </w:tcPr>
          <w:p>
            <w:pPr>
              <w:pStyle w:val="Normal"/>
              <w:spacing w:lineRule="auto" w:line="240"/>
              <w:jc w:val="center"/>
              <w:rPr/>
            </w:pPr>
            <w:r>
              <w:rPr/>
            </w:r>
          </w:p>
        </w:tc>
        <w:tc>
          <w:tcPr>
            <w:tcW w:w="1688" w:type="dxa"/>
            <w:gridSpan w:val="2"/>
            <w:tcBorders/>
            <w:shd w:color="auto" w:fill="auto" w:val="clear"/>
            <w:vAlign w:val="bottom"/>
          </w:tcPr>
          <w:p>
            <w:pPr>
              <w:pStyle w:val="Normal"/>
              <w:spacing w:lineRule="auto" w:line="240"/>
              <w:jc w:val="center"/>
              <w:rPr/>
            </w:pPr>
            <w:r>
              <w:rPr/>
            </w:r>
          </w:p>
        </w:tc>
        <w:tc>
          <w:tcPr>
            <w:tcW w:w="1708" w:type="dxa"/>
            <w:gridSpan w:val="3"/>
            <w:tcBorders/>
            <w:shd w:color="auto" w:fill="auto" w:val="clear"/>
            <w:vAlign w:val="bottom"/>
          </w:tcPr>
          <w:p>
            <w:pPr>
              <w:pStyle w:val="Normal"/>
              <w:spacing w:lineRule="auto" w:line="240"/>
              <w:jc w:val="center"/>
              <w:rPr/>
            </w:pPr>
            <w:r>
              <w:rPr/>
            </w:r>
          </w:p>
        </w:tc>
        <w:tc>
          <w:tcPr>
            <w:tcW w:w="1700" w:type="dxa"/>
            <w:gridSpan w:val="2"/>
            <w:tcBorders/>
            <w:shd w:color="auto" w:fill="auto" w:val="clear"/>
            <w:vAlign w:val="bottom"/>
          </w:tcPr>
          <w:p>
            <w:pPr>
              <w:pStyle w:val="Normal"/>
              <w:spacing w:lineRule="auto" w:line="240"/>
              <w:jc w:val="center"/>
              <w:rPr/>
            </w:pPr>
            <w:r>
              <w:rPr/>
            </w:r>
          </w:p>
        </w:tc>
      </w:tr>
      <w:tr>
        <w:trPr>
          <w:trHeight w:val="273" w:hRule="atLeast"/>
        </w:trPr>
        <w:tc>
          <w:tcPr>
            <w:tcW w:w="2000" w:type="dxa"/>
            <w:tcBorders/>
            <w:shd w:color="auto" w:fill="auto" w:val="clear"/>
            <w:vAlign w:val="bottom"/>
          </w:tcPr>
          <w:p>
            <w:pPr>
              <w:pStyle w:val="Normal"/>
              <w:spacing w:lineRule="auto" w:line="240"/>
              <w:rPr/>
            </w:pPr>
            <w:r>
              <w:rPr/>
              <w:t>Low Accuracy</w:t>
            </w:r>
          </w:p>
        </w:tc>
        <w:tc>
          <w:tcPr>
            <w:tcW w:w="712" w:type="dxa"/>
            <w:tcBorders/>
            <w:shd w:color="auto" w:fill="auto" w:val="clear"/>
            <w:vAlign w:val="bottom"/>
          </w:tcPr>
          <w:p>
            <w:pPr>
              <w:pStyle w:val="Normal"/>
              <w:spacing w:lineRule="auto" w:line="240"/>
              <w:jc w:val="center"/>
              <w:rPr/>
            </w:pPr>
            <w:r>
              <w:rPr/>
              <w:t>1</w:t>
            </w:r>
          </w:p>
        </w:tc>
        <w:tc>
          <w:tcPr>
            <w:tcW w:w="1709" w:type="dxa"/>
            <w:gridSpan w:val="2"/>
            <w:tcBorders/>
            <w:shd w:color="auto" w:fill="auto" w:val="clear"/>
            <w:vAlign w:val="bottom"/>
          </w:tcPr>
          <w:p>
            <w:pPr>
              <w:pStyle w:val="Normal"/>
              <w:spacing w:lineRule="auto" w:line="240"/>
              <w:jc w:val="center"/>
              <w:rPr/>
            </w:pPr>
            <w:r>
              <w:rPr/>
              <w:t>157.24</w:t>
            </w:r>
          </w:p>
        </w:tc>
        <w:tc>
          <w:tcPr>
            <w:tcW w:w="1688" w:type="dxa"/>
            <w:gridSpan w:val="2"/>
            <w:tcBorders/>
            <w:shd w:color="auto" w:fill="auto" w:val="clear"/>
            <w:vAlign w:val="bottom"/>
          </w:tcPr>
          <w:p>
            <w:pPr>
              <w:pStyle w:val="Normal"/>
              <w:spacing w:lineRule="auto" w:line="240"/>
              <w:jc w:val="center"/>
              <w:rPr/>
            </w:pPr>
            <w:r>
              <w:rPr/>
              <w:t>0.05</w:t>
            </w:r>
          </w:p>
        </w:tc>
        <w:tc>
          <w:tcPr>
            <w:tcW w:w="1708" w:type="dxa"/>
            <w:gridSpan w:val="3"/>
            <w:tcBorders/>
            <w:shd w:color="auto" w:fill="auto" w:val="clear"/>
            <w:vAlign w:val="bottom"/>
          </w:tcPr>
          <w:p>
            <w:pPr>
              <w:pStyle w:val="Normal"/>
              <w:spacing w:lineRule="auto" w:line="240"/>
              <w:jc w:val="center"/>
              <w:rPr/>
            </w:pPr>
            <w:r>
              <w:rPr/>
              <w:t>250.00</w:t>
            </w:r>
          </w:p>
        </w:tc>
        <w:tc>
          <w:tcPr>
            <w:tcW w:w="1700" w:type="dxa"/>
            <w:gridSpan w:val="2"/>
            <w:tcBorders/>
            <w:shd w:color="auto" w:fill="auto" w:val="clear"/>
            <w:vAlign w:val="bottom"/>
          </w:tcPr>
          <w:p>
            <w:pPr>
              <w:pStyle w:val="Normal"/>
              <w:spacing w:lineRule="auto" w:line="240"/>
              <w:jc w:val="center"/>
              <w:rPr/>
            </w:pPr>
            <w:r>
              <w:rPr/>
              <w:t>0.02</w:t>
            </w:r>
          </w:p>
        </w:tc>
      </w:tr>
      <w:tr>
        <w:trPr>
          <w:trHeight w:val="273" w:hRule="atLeast"/>
        </w:trPr>
        <w:tc>
          <w:tcPr>
            <w:tcW w:w="2000" w:type="dxa"/>
            <w:tcBorders>
              <w:bottom w:val="single" w:sz="4" w:space="0" w:color="000000"/>
            </w:tcBorders>
            <w:shd w:color="auto" w:fill="auto" w:val="clear"/>
            <w:vAlign w:val="bottom"/>
          </w:tcPr>
          <w:p>
            <w:pPr>
              <w:pStyle w:val="Normal"/>
              <w:spacing w:lineRule="auto" w:line="240"/>
              <w:rPr/>
            </w:pPr>
            <w:r>
              <w:rPr/>
            </w:r>
          </w:p>
        </w:tc>
        <w:tc>
          <w:tcPr>
            <w:tcW w:w="712" w:type="dxa"/>
            <w:tcBorders>
              <w:bottom w:val="single" w:sz="4" w:space="0" w:color="000000"/>
            </w:tcBorders>
            <w:shd w:color="auto" w:fill="auto" w:val="clear"/>
            <w:vAlign w:val="bottom"/>
          </w:tcPr>
          <w:p>
            <w:pPr>
              <w:pStyle w:val="Normal"/>
              <w:spacing w:lineRule="auto" w:line="240"/>
              <w:jc w:val="center"/>
              <w:rPr/>
            </w:pPr>
            <w:r>
              <w:rPr/>
              <w:t>13</w:t>
            </w:r>
          </w:p>
        </w:tc>
        <w:tc>
          <w:tcPr>
            <w:tcW w:w="1709" w:type="dxa"/>
            <w:gridSpan w:val="2"/>
            <w:tcBorders>
              <w:bottom w:val="single" w:sz="4" w:space="0" w:color="000000"/>
            </w:tcBorders>
            <w:shd w:color="auto" w:fill="auto" w:val="clear"/>
            <w:vAlign w:val="bottom"/>
          </w:tcPr>
          <w:p>
            <w:pPr>
              <w:pStyle w:val="Normal"/>
              <w:spacing w:lineRule="auto" w:line="240"/>
              <w:jc w:val="center"/>
              <w:rPr/>
            </w:pPr>
            <w:r>
              <w:rPr/>
              <w:t>45.64</w:t>
            </w:r>
          </w:p>
        </w:tc>
        <w:tc>
          <w:tcPr>
            <w:tcW w:w="1688" w:type="dxa"/>
            <w:gridSpan w:val="2"/>
            <w:tcBorders>
              <w:bottom w:val="single" w:sz="4" w:space="0" w:color="000000"/>
            </w:tcBorders>
            <w:shd w:color="auto" w:fill="auto" w:val="clear"/>
            <w:vAlign w:val="bottom"/>
          </w:tcPr>
          <w:p>
            <w:pPr>
              <w:pStyle w:val="Normal"/>
              <w:spacing w:lineRule="auto" w:line="240"/>
              <w:jc w:val="center"/>
              <w:rPr/>
            </w:pPr>
            <w:r>
              <w:rPr/>
              <w:t>0.03</w:t>
            </w:r>
          </w:p>
        </w:tc>
        <w:tc>
          <w:tcPr>
            <w:tcW w:w="1708" w:type="dxa"/>
            <w:gridSpan w:val="3"/>
            <w:tcBorders>
              <w:bottom w:val="single" w:sz="4" w:space="0" w:color="000000"/>
            </w:tcBorders>
            <w:shd w:color="auto" w:fill="auto" w:val="clear"/>
            <w:vAlign w:val="bottom"/>
          </w:tcPr>
          <w:p>
            <w:pPr>
              <w:pStyle w:val="Normal"/>
              <w:spacing w:lineRule="auto" w:line="240"/>
              <w:jc w:val="center"/>
              <w:rPr/>
            </w:pPr>
            <w:r>
              <w:rPr/>
              <w:t>250.00</w:t>
            </w:r>
          </w:p>
        </w:tc>
        <w:tc>
          <w:tcPr>
            <w:tcW w:w="1700" w:type="dxa"/>
            <w:gridSpan w:val="2"/>
            <w:tcBorders>
              <w:bottom w:val="single" w:sz="4" w:space="0" w:color="000000"/>
            </w:tcBorders>
            <w:shd w:color="auto" w:fill="auto" w:val="clear"/>
            <w:vAlign w:val="bottom"/>
          </w:tcPr>
          <w:p>
            <w:pPr>
              <w:pStyle w:val="Normal"/>
              <w:spacing w:lineRule="auto" w:line="240"/>
              <w:jc w:val="center"/>
              <w:rPr/>
            </w:pPr>
            <w:r>
              <w:rPr/>
              <w:t>0.02</w:t>
            </w:r>
          </w:p>
        </w:tc>
      </w:tr>
    </w:tbl>
    <w:p>
      <w:pPr>
        <w:pStyle w:val="Normal"/>
        <w:rPr/>
      </w:pPr>
      <w:r>
        <w:rPr/>
      </w:r>
    </w:p>
    <w:p>
      <w:pPr>
        <w:pStyle w:val="Normal"/>
        <w:spacing w:lineRule="auto" w:line="240"/>
        <w:rPr/>
      </w:pPr>
      <w:r>
        <w:rPr/>
      </w:r>
      <w:r>
        <w:br w:type="page"/>
      </w:r>
    </w:p>
    <w:p>
      <w:pPr>
        <w:pStyle w:val="Normal"/>
        <w:rPr/>
      </w:pPr>
      <w:r>
        <w:rPr/>
      </w:r>
    </w:p>
    <w:p>
      <w:pPr>
        <w:pStyle w:val="Normal"/>
        <w:spacing w:lineRule="auto" w:line="240"/>
        <w:rPr/>
      </w:pPr>
      <w:r>
        <w:rPr/>
      </w:r>
    </w:p>
    <w:p>
      <w:pPr>
        <w:pStyle w:val="Normal"/>
        <w:snapToGrid w:val="false"/>
        <w:ind w:left="720" w:hanging="720"/>
        <w:jc w:val="center"/>
        <w:rPr>
          <w:b/>
          <w:b/>
        </w:rPr>
      </w:pPr>
      <w:r>
        <w:rPr>
          <w:b/>
        </w:rPr>
      </w:r>
    </w:p>
    <w:p>
      <w:pPr>
        <w:pStyle w:val="Normal"/>
        <w:spacing w:lineRule="auto" w:line="240"/>
        <w:rPr>
          <w:b/>
          <w:b/>
        </w:rPr>
      </w:pPr>
      <w:r>
        <w:rPr>
          <w:b/>
        </w:rPr>
      </w:r>
      <w:r>
        <w:br w:type="page"/>
      </w:r>
    </w:p>
    <w:p>
      <w:pPr>
        <w:pStyle w:val="Normal"/>
        <w:spacing w:lineRule="auto" w:line="240"/>
        <w:rPr/>
      </w:pPr>
      <w:r>
        <w:rPr/>
      </w:r>
    </w:p>
    <w:p>
      <w:pPr>
        <w:pStyle w:val="Normal"/>
        <w:ind w:firstLine="720"/>
        <w:jc w:val="center"/>
        <w:rPr/>
      </w:pPr>
      <w:r>
        <w:rPr/>
        <w:t>References</w:t>
      </w:r>
    </w:p>
    <w:p>
      <w:pPr>
        <w:pStyle w:val="Normal"/>
        <w:rPr/>
      </w:pPr>
      <w:r>
        <w:rPr/>
      </w:r>
    </w:p>
    <w:p>
      <w:pPr>
        <w:pStyle w:val="Normal"/>
        <w:ind w:left="720" w:hanging="720"/>
        <w:rPr/>
      </w:pPr>
      <w:r>
        <w:rPr/>
        <w:t>Atkinson, R. C., &amp; Juola, J. F. (1974). </w:t>
      </w:r>
      <w:r>
        <w:rPr>
          <w:i/>
          <w:iCs/>
        </w:rPr>
        <w:t>Search and decision processes in recognition memory</w:t>
      </w:r>
      <w:r>
        <w:rPr/>
        <w:t>. WH Freeman.</w:t>
      </w:r>
    </w:p>
    <w:p>
      <w:pPr>
        <w:pStyle w:val="Normal"/>
        <w:ind w:left="720" w:hanging="720"/>
        <w:rPr/>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pPr>
        <w:pStyle w:val="Normal"/>
        <w:ind w:left="720" w:hanging="720"/>
        <w:rPr/>
      </w:pPr>
      <w:r>
        <w:rPr>
          <w:highlight w:val="white"/>
        </w:rPr>
        <w:t>Batchelder, W. H., &amp; Riefer,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pPr>
        <w:pStyle w:val="Normal"/>
        <w:ind w:left="720" w:hanging="720"/>
        <w:rPr/>
      </w:pPr>
      <w:r>
        <w:rPr>
          <w:highlight w:val="white"/>
        </w:rPr>
        <w:t>Bell, R., Mieth,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pPr>
        <w:pStyle w:val="Normal"/>
        <w:ind w:left="720" w:hanging="720"/>
        <w:rPr/>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pPr>
        <w:pStyle w:val="Normal"/>
        <w:ind w:left="720" w:hanging="720"/>
        <w:rPr/>
      </w:pPr>
      <w:r>
        <w:rPr>
          <w:highlight w:val="white"/>
        </w:rPr>
        <w:t>Dube, C., Starns, J. J., Rotello,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pPr>
        <w:pStyle w:val="Normal"/>
        <w:ind w:left="720" w:hanging="720"/>
        <w:rPr/>
      </w:pPr>
      <w:r>
        <w:rPr>
          <w:highlight w:val="white"/>
        </w:rPr>
        <w:t>Harlow, I. M., &amp; Donaldson, D. I. (2013). Source accuracy data reveal the thresholded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pPr>
        <w:pStyle w:val="Normal"/>
        <w:ind w:left="720" w:hanging="720"/>
        <w:rPr/>
      </w:pPr>
      <w:r>
        <w:rPr>
          <w:highlight w:val="white"/>
        </w:rPr>
        <w:t>Hautus, M. J., Macmillan, N. A., &amp; Rotello,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pPr>
        <w:pStyle w:val="Normal"/>
        <w:ind w:left="720" w:hanging="720"/>
        <w:rPr/>
      </w:pPr>
      <w:r>
        <w:rPr>
          <w:highlight w:val="white"/>
        </w:rPr>
        <w:t>Janowsky, J. S., Shimamura, A. P., &amp; Squire, L. R. (1989). Source memory impairment in patients with frontal lobe lesions. </w:t>
      </w:r>
      <w:r>
        <w:rPr>
          <w:i/>
          <w:iCs/>
          <w:highlight w:val="white"/>
        </w:rPr>
        <w:t>Neuropsychologia</w:t>
      </w:r>
      <w:r>
        <w:rPr>
          <w:highlight w:val="white"/>
        </w:rPr>
        <w:t>, </w:t>
      </w:r>
      <w:r>
        <w:rPr>
          <w:i/>
          <w:iCs/>
          <w:highlight w:val="white"/>
        </w:rPr>
        <w:t>27</w:t>
      </w:r>
      <w:r>
        <w:rPr>
          <w:highlight w:val="white"/>
        </w:rPr>
        <w:t>(8), 1043-1056.</w:t>
      </w:r>
    </w:p>
    <w:p>
      <w:pPr>
        <w:pStyle w:val="Normal"/>
        <w:ind w:left="720" w:hanging="720"/>
        <w:rPr/>
      </w:pPr>
      <w:r>
        <w:rPr>
          <w:highlight w:val="white"/>
        </w:rPr>
        <w:t>Klauer,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pPr>
        <w:pStyle w:val="Normal"/>
        <w:ind w:left="720" w:hanging="720"/>
        <w:rPr/>
      </w:pPr>
      <w:r>
        <w:rPr>
          <w:highlight w:val="white"/>
        </w:rPr>
        <w:t>Malejka, S., &amp; Bröder,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pPr>
        <w:pStyle w:val="Normal"/>
        <w:ind w:left="720" w:hanging="720"/>
        <w:rPr/>
      </w:pPr>
      <w:r>
        <w:rPr>
          <w:highlight w:val="white"/>
        </w:rPr>
        <w:t>Mickes, L., Wais, P. E., &amp; Wixted,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pPr>
        <w:pStyle w:val="Normal"/>
        <w:ind w:left="720" w:hanging="720"/>
        <w:rPr/>
      </w:pPr>
      <w:r>
        <w:rPr>
          <w:highlight w:val="white"/>
        </w:rPr>
        <w:t>Onyper, S. V., Zhang, Y. X., &amp; Howard, M. W. (2010). Some-or-none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pPr>
        <w:pStyle w:val="Normal"/>
        <w:ind w:left="720" w:hanging="720"/>
        <w:rPr/>
      </w:pPr>
      <w:r>
        <w:rPr>
          <w:highlight w:val="white"/>
        </w:rPr>
        <w:t>Osth, A. F., Bora, B., Dennis, S., &amp; Heathcote, A. (2017). Diffusion vs. linear ballistic accumulation: Different models, different conclusions about the slope of the zROC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pPr>
        <w:pStyle w:val="Normal"/>
        <w:ind w:left="720" w:hanging="720"/>
        <w:rPr/>
      </w:pPr>
      <w:r>
        <w:rPr>
          <w:highlight w:val="white"/>
        </w:rPr>
        <w:t>Osth,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pPr>
        <w:pStyle w:val="Normal"/>
        <w:ind w:left="720" w:hanging="720"/>
        <w:rPr/>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pPr>
        <w:pStyle w:val="Normal"/>
        <w:ind w:left="720" w:hanging="720"/>
        <w:rPr/>
      </w:pPr>
      <w:r>
        <w:rPr>
          <w:highlight w:val="white"/>
        </w:rPr>
        <w:t>Ratcliff, R., &amp; Starns,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pPr>
        <w:pStyle w:val="Normal"/>
        <w:ind w:left="720" w:hanging="720"/>
        <w:rPr/>
      </w:pPr>
      <w:r>
        <w:rPr>
          <w:highlight w:val="white"/>
        </w:rPr>
        <w:t>Ratcliff, R., Smith, P. L., Brown, S. D., &amp; McKoon,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pPr>
        <w:pStyle w:val="Normal"/>
        <w:ind w:left="720" w:hanging="720"/>
        <w:rPr/>
      </w:pPr>
      <w:r>
        <w:rPr>
          <w:highlight w:val="white"/>
        </w:rPr>
        <w:t>Rouder,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pPr>
        <w:pStyle w:val="Normal"/>
        <w:ind w:left="720" w:hanging="720"/>
        <w:rPr/>
      </w:pPr>
      <w:r>
        <w:rPr>
          <w:highlight w:val="white"/>
        </w:rPr>
        <w:t>Schurgin, M. W., Wixted, J. T., &amp; Brady, T. F. (2018). Psychological scaling reveals a single parameter framework for visual working memory. </w:t>
      </w:r>
      <w:r>
        <w:rPr>
          <w:i/>
          <w:iCs/>
          <w:highlight w:val="white"/>
        </w:rPr>
        <w:t>bioRxiv</w:t>
      </w:r>
      <w:r>
        <w:rPr>
          <w:highlight w:val="white"/>
        </w:rPr>
        <w:t>, 325472.</w:t>
      </w:r>
    </w:p>
    <w:p>
      <w:pPr>
        <w:pStyle w:val="Normal"/>
        <w:ind w:left="720" w:hanging="720"/>
        <w:rPr/>
      </w:pPr>
      <w:r>
        <w:rPr>
          <w:highlight w:val="white"/>
        </w:rPr>
        <w:t>Slotnick, S. D., &amp; Dodson, C. S. (2005). Support for a continuous (single-process)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pPr>
        <w:pStyle w:val="Normal"/>
        <w:ind w:left="720" w:hanging="720"/>
        <w:rPr/>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pPr>
        <w:pStyle w:val="Normal"/>
        <w:ind w:left="720" w:hanging="720"/>
        <w:rPr/>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pPr>
        <w:pStyle w:val="Normal"/>
        <w:numPr>
          <w:ilvl w:val="0"/>
          <w:numId w:val="0"/>
        </w:numPr>
        <w:ind w:left="720" w:hanging="720"/>
        <w:textAlignment w:val="baseline"/>
        <w:outlineLvl w:val="0"/>
        <w:rPr/>
      </w:pPr>
      <w:r>
        <w:rPr>
          <w:highlight w:val="white"/>
        </w:rPr>
        <w:t xml:space="preserve">Smith, P. L., Saber, S., Corbett, E. A. &amp; Lilburn, S. D. (2019). </w:t>
      </w:r>
      <w:r>
        <w:rPr>
          <w:bCs/>
          <w:kern w:val="2"/>
        </w:rPr>
        <w:t>Modelling the speed and accuracy of continuous outcome colour decisions: Metric and categorical effects. Paper presented at the  The Australian Mathematical Psychology Conference, Melbourne, Australia, February.. Abstract retrieved from: http://mathpsy.ch/abstracts/smith-26/</w:t>
      </w:r>
    </w:p>
    <w:p>
      <w:pPr>
        <w:pStyle w:val="Normal"/>
        <w:ind w:left="720" w:hanging="720"/>
        <w:rPr/>
      </w:pPr>
      <w:r>
        <w:rPr>
          <w:highlight w:val="white"/>
        </w:rPr>
        <w:t>Starns,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pPr>
        <w:pStyle w:val="Normal"/>
        <w:ind w:left="720" w:hanging="720"/>
        <w:rPr/>
      </w:pPr>
      <w:r>
        <w:rPr>
          <w:highlight w:val="white"/>
        </w:rPr>
        <w:t>Yonelinas,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pPr>
        <w:pStyle w:val="Normal"/>
        <w:ind w:left="720" w:hanging="720"/>
        <w:rPr/>
      </w:pPr>
      <w:r>
        <w:rPr>
          <w:highlight w:val="white"/>
        </w:rPr>
        <w:t>Yonelinas, A. P. (1999). The contribution of recollection and familiarity to recognition and source-memory judgments: A formal dual-process model and an analysis of receiver operating characterstics.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pPr>
        <w:pStyle w:val="Normal"/>
        <w:ind w:left="720" w:hanging="720"/>
        <w:rPr/>
      </w:pPr>
      <w:r>
        <w:rPr>
          <w:highlight w:val="white"/>
        </w:rPr>
        <w:t>Yonelinas,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pPr>
        <w:pStyle w:val="Normal"/>
        <w:ind w:left="720" w:hanging="720"/>
        <w:rPr/>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pPr>
        <w:pStyle w:val="Normal"/>
        <w:rPr/>
      </w:pPr>
      <w:r>
        <w:rPr/>
      </w:r>
    </w:p>
    <w:sectPr>
      <w:headerReference w:type="default" r:id="rId9"/>
      <w:headerReference w:type="first" r:id="rId10"/>
      <w:type w:val="nextPage"/>
      <w:pgSz w:w="12240" w:h="15840"/>
      <w:pgMar w:left="1440" w:right="1440" w:header="720" w:top="1440" w:footer="0" w:bottom="1999" w:gutter="0"/>
      <w:pgNumType w:start="1" w:fmt="decimal"/>
      <w:formProt w:val="false"/>
      <w:titlePg/>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son Zhou" w:date="2020-04-10T16:10:00Z" w:initials="JZ">
    <w:p>
      <w:r>
        <w:rPr>
          <w:rFonts w:ascii="Liberation Serif" w:hAnsi="Liberation Serif" w:eastAsia="DejaVu Sans" w:cs="DejaVu Sans"/>
          <w:lang w:val="en-US" w:eastAsia="en-US" w:bidi="en-US"/>
        </w:rPr>
        <w:t>This might read as a load of jargon.</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Seems really dense to me for an abstract, but im trying to be as minimal as I can</w:t>
      </w:r>
    </w:p>
  </w:comment>
  <w:comment w:id="1" w:author="Jason Zhou" w:date="2020-04-02T12:51:00Z" w:initials="JZ">
    <w:p>
      <w:r>
        <w:rPr>
          <w:rFonts w:ascii="Liberation Serif" w:hAnsi="Liberation Serif" w:eastAsia="Times New Roman" w:cs="DejaVu Sans"/>
          <w:lang w:val="en-US" w:eastAsia="en-US" w:bidi="en-US"/>
        </w:rPr>
        <w:t>Review this example</w:t>
      </w:r>
    </w:p>
  </w:comment>
  <w:comment w:id="2" w:author="Jason Zhou" w:date="2020-04-10T09:33:00Z" w:initials="JZ">
    <w:p>
      <w:r>
        <w:rPr>
          <w:rFonts w:ascii="Liberation Serif" w:hAnsi="Liberation Serif" w:eastAsia="DejaVu Sans" w:cs="DejaVu Sans"/>
          <w:lang w:val="en-US" w:eastAsia="en-US" w:bidi="en-US"/>
        </w:rPr>
        <w:t>I tried writing about this here, but I felt it didn’t make a lot of sense structurally. I have moved my new writing under “Evidence from Two-Choice tasks” (see below), where I think it flows into my argument better, let me know what you think.</w:t>
      </w:r>
    </w:p>
  </w:comment>
  <w:comment w:id="3" w:author="Unknown Author" w:date="2020-03-31T14:57:00Z" w:initials="">
    <w:p>
      <w:r>
        <w:rPr>
          <w:rFonts w:ascii="Liberation Serif" w:hAnsi="Liberation Serif" w:eastAsia="DejaVu Sans" w:cs="DejaVu Sans"/>
          <w:sz w:val="20"/>
          <w:lang w:val="en-US" w:eastAsia="en-US" w:bidi="en-US"/>
        </w:rPr>
        <w:t xml:space="preserve">Need a bit more of lead-in to this paragraph, especially if you’re going to get rid of most of the dual process introduction above. What I’d suggest is something along the lines of </w:t>
      </w:r>
    </w:p>
    <w:p>
      <w:r>
        <w:rPr>
          <w:rFonts w:ascii="Liberation Serif" w:hAnsi="Liberation Serif" w:eastAsia="DejaVu Sans" w:cs="DejaVu Sans"/>
          <w:sz w:val="20"/>
          <w:lang w:val="en-US" w:eastAsia="en-US" w:bidi="en-US"/>
        </w:rPr>
        <w:t>“[In the last paragraph: Most of the evidence regarding the nature of source memory retrieval has been derived from the shape of ROC curves. ]”</w:t>
      </w:r>
    </w:p>
  </w:comment>
  <w:comment w:id="4" w:author="Jason Zhou" w:date="2020-04-10T10:16:00Z" w:initials="JZ">
    <w:p>
      <w:r>
        <w:rPr>
          <w:rFonts w:ascii="Liberation Serif" w:hAnsi="Liberation Serif" w:eastAsia="DejaVu Sans" w:cs="DejaVu Sans"/>
          <w:lang w:val="en-US" w:eastAsia="en-US" w:bidi="en-US"/>
        </w:rPr>
        <w:t xml:space="preserve">This does sort of interrupt the flow of talking about two-choice source tasks into the H&amp;D continuous source paradigm… I could reorder and lead the section by talking about recognition lit, but it might not be clear what the relevance to source memory is initially?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alternatively, I could move this up to the prior section (see above), and just go into less detail.</w:t>
      </w:r>
    </w:p>
  </w:comment>
  <w:comment w:id="5" w:author="Unknown Author" w:date="2020-03-31T15:43:00Z" w:initials="">
    <w:p>
      <w:r>
        <w:rPr>
          <w:rFonts w:ascii="Liberation Serif" w:hAnsi="Liberation Serif" w:eastAsia="DejaVu Sans" w:cs="DejaVu Sans"/>
          <w:sz w:val="20"/>
          <w:lang w:val="en-US" w:eastAsia="en-US" w:bidi="en-US"/>
        </w:rPr>
        <w:t>I think you can go (slightly) further with the link and say that the “slot” model of Luck and Vogel is exactly the high threshold model examined by Rouder and colleagues, and predicts linear ROCs.</w:t>
      </w:r>
    </w:p>
  </w:comment>
  <w:comment w:id="6" w:author="Jason Zhou" w:date="2020-04-10T15:59:00Z" w:initials="JZ">
    <w:p>
      <w:r>
        <w:rPr>
          <w:rFonts w:ascii="Liberation Serif" w:hAnsi="Liberation Serif" w:eastAsia="DejaVu Sans" w:cs="DejaVu Sans"/>
          <w:lang w:val="en-US" w:eastAsia="en-US" w:bidi="en-US"/>
        </w:rPr>
        <w:t>Trying here to foreground the model comparison a bit more directly. If we like this, then I’ll then go through and fix up places where we repeat (as in introducing the terminology, perhaps)</w:t>
      </w:r>
    </w:p>
  </w:comment>
  <w:comment w:id="7" w:author="Jason Zhou" w:date="2020-04-07T11:38:00Z" w:initials="JZ">
    <w:p>
      <w:r>
        <w:rPr>
          <w:rFonts w:ascii="Liberation Serif" w:hAnsi="Liberation Serif" w:eastAsia="DejaVu Sans" w:cs="DejaVu Sans"/>
          <w:lang w:val="en-US" w:eastAsia="en-US" w:bidi="en-US"/>
        </w:rPr>
        <w:t>What do I call this, check later</w:t>
      </w:r>
    </w:p>
  </w:comment>
  <w:comment w:id="8" w:author="Unknown Author" w:date="2020-03-31T15:47:00Z" w:initials="">
    <w:p>
      <w:r>
        <w:rPr>
          <w:rFonts w:ascii="Liberation Serif" w:hAnsi="Liberation Serif" w:eastAsia="DejaVu Sans" w:cs="DejaVu Sans"/>
          <w:sz w:val="20"/>
          <w:lang w:val="en-US" w:eastAsia="en-US" w:bidi="en-US"/>
        </w:rPr>
        <w:t>This is a little niggly, but I tend to prefer having figures that look good when printed in black-and-white. I’d suggest having a three-panel figure: one with all responses, one with just recognized responses, and one with unrecognized responses.</w:t>
      </w:r>
    </w:p>
  </w:comment>
  <w:comment w:id="9" w:author="Jason Zhou" w:date="2020-04-10T10:35:00Z" w:initials="JZ">
    <w:p>
      <w:r>
        <w:rPr>
          <w:rFonts w:ascii="Liberation Serif" w:hAnsi="Liberation Serif" w:eastAsia="DejaVu Sans" w:cs="DejaVu Sans"/>
          <w:lang w:val="en-US" w:eastAsia="en-US" w:bidi="en-US"/>
        </w:rPr>
        <w:t>Placeholder, circle back</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Is there a better way to quantify this neatly? Percentage of items classified as unrecognized perhaps?</w:t>
      </w:r>
    </w:p>
  </w:comment>
  <w:comment w:id="10" w:author="Unknown Author" w:date="2020-03-31T15:48:00Z" w:initials="">
    <w:p>
      <w:r>
        <w:rPr>
          <w:rFonts w:ascii="Liberation Serif" w:hAnsi="Liberation Serif" w:eastAsia="DejaVu Sans" w:cs="DejaVu Sans"/>
          <w:sz w:val="20"/>
          <w:lang w:val="en-US" w:eastAsia="en-US" w:bidi="en-US"/>
        </w:rPr>
        <w:t xml:space="preserve">As above, you need the Rayleigh test statistic (as well as the </w:t>
      </w:r>
      <w:r>
        <w:rPr>
          <w:rFonts w:ascii="Liberation Serif" w:hAnsi="Liberation Serif" w:eastAsia="DejaVu Sans" w:cs="DejaVu Sans"/>
          <w:i/>
          <w:sz w:val="20"/>
          <w:lang w:val="en-US" w:eastAsia="en-US" w:bidi="en-US"/>
        </w:rPr>
        <w:t xml:space="preserve">p </w:t>
      </w:r>
      <w:r>
        <w:rPr>
          <w:rFonts w:ascii="Liberation Serif" w:hAnsi="Liberation Serif" w:eastAsia="DejaVu Sans" w:cs="DejaVu Sans"/>
          <w:sz w:val="20"/>
          <w:lang w:val="en-US" w:eastAsia="en-US" w:bidi="en-US"/>
        </w:rPr>
        <w:t>value) here.</w:t>
      </w:r>
    </w:p>
  </w:comment>
  <w:comment w:id="11" w:author="Unknown Author" w:date="2020-03-31T15:55:00Z" w:initials="">
    <w:p>
      <w:r>
        <w:rPr>
          <w:rFonts w:ascii="Liberation Serif" w:hAnsi="Liberation Serif" w:eastAsia="DejaVu Sans" w:cs="DejaVu Sans"/>
          <w:sz w:val="20"/>
          <w:lang w:val="en-US" w:eastAsia="en-US" w:bidi="en-US"/>
        </w:rPr>
        <w:t>For consistency with the mixture parameter, I’d give this a symbol (precision is often denoted with a kappa).</w:t>
      </w:r>
    </w:p>
  </w:comment>
  <w:comment w:id="12" w:author="Jason Zhou" w:date="2020-01-13T11:08:00Z" w:initials="JZ">
    <w:p>
      <w:r>
        <w:rPr>
          <w:rFonts w:ascii="Liberation Serif" w:hAnsi="Liberation Serif" w:eastAsia="DejaVu Sans" w:cs="DejaVu Sans"/>
          <w:lang w:val="en-US" w:eastAsia="en-US" w:bidi="en-US"/>
        </w:rPr>
        <w:t>Need to provide quant goodness-of-fit</w:t>
      </w:r>
    </w:p>
  </w:comment>
  <w:comment w:id="13" w:author="Jason Zhou" w:date="2020-04-08T12:07:00Z" w:initials="JZ">
    <w:p>
      <w:r>
        <w:rPr>
          <w:rFonts w:ascii="Liberation Serif" w:hAnsi="Liberation Serif" w:eastAsia="DejaVu Sans" w:cs="DejaVu Sans"/>
          <w:lang w:val="en-US" w:eastAsia="en-US" w:bidi="en-US"/>
        </w:rPr>
        <w:t>PS: keep the figures in the main text. They are critical to understanding the results. If they end up filling an entire journal page that’s OK. I would tune the size/aspect ratio of the figures in the expectation that they will be set as full-page figures.</w:t>
      </w:r>
    </w:p>
  </w:comment>
  <w:comment w:id="14" w:author="Unknown Author" w:date="2020-03-31T16:08:00Z" w:initials="">
    <w:p>
      <w:r>
        <w:rPr>
          <w:rFonts w:ascii="Liberation Serif" w:hAnsi="Liberation Serif" w:eastAsia="DejaVu Sans" w:cs="DejaVu Sans"/>
          <w:i/>
          <w:sz w:val="16"/>
          <w:lang w:val="en-US" w:eastAsia="en-US" w:bidi="en-US"/>
        </w:rPr>
        <w:t>Reply to Jason Zhou (31/01/2020, 12:43): "..."</w:t>
      </w:r>
    </w:p>
    <w:p>
      <w:r>
        <w:rPr>
          <w:rFonts w:ascii="Liberation Serif" w:hAnsi="Liberation Serif" w:eastAsia="DejaVu Sans" w:cs="DejaVu Sans"/>
          <w:sz w:val="20"/>
          <w:lang w:val="en-US" w:eastAsia="en-US" w:bidi="en-US"/>
        </w:rPr>
        <w:t>I think you need to make each of the main plots fill a whole page. At the moment, they are too busy and too small to really get a sense of the differences between the participants and between the models. You could potentially expand the plotting area for each of these and have both marginal plots within the same figure (a row of response errors and a row of RTs).</w:t>
      </w:r>
    </w:p>
  </w:comment>
  <w:comment w:id="15" w:author="Jason Zhou" w:date="2020-04-10T15:04:00Z" w:initials="JZ">
    <w:p>
      <w:r>
        <w:rPr>
          <w:rFonts w:ascii="Liberation Serif" w:hAnsi="Liberation Serif" w:eastAsia="DejaVu Sans" w:cs="DejaVu Sans"/>
          <w:lang w:val="en-US" w:eastAsia="en-US" w:bidi="en-US"/>
        </w:rPr>
        <w:t>Trying here to explain the qxq plots a bit better for people who may not have seen them before?</w:t>
      </w:r>
    </w:p>
  </w:comment>
  <w:comment w:id="16" w:author="Jason Zhou" w:date="2020-04-10T15:07:00Z" w:initials="JZ">
    <w:p>
      <w:r>
        <w:rPr>
          <w:rFonts w:ascii="Liberation Serif" w:hAnsi="Liberation Serif" w:eastAsia="DejaVu Sans" w:cs="DejaVu Sans"/>
          <w:lang w:val="en-US" w:eastAsia="en-US" w:bidi="en-US"/>
        </w:rPr>
        <w:t>PS: I think this para also needs something on the Q x Q functions for the other models. It only talks about the continuous strength models and reads as a bit unbalanced.</w:t>
      </w:r>
    </w:p>
    <w:p>
      <w:r>
        <w:rPr>
          <w:rFonts w:ascii="Liberation Serif" w:hAnsi="Liberation Serif" w:eastAsia="DejaVu Sans" w:cs="DejaVu Sans"/>
          <w:lang w:val="en-US" w:eastAsia="en-US" w:bidi="en-US"/>
        </w:rPr>
      </w:r>
    </w:p>
  </w:comment>
  <w:comment w:id="17" w:author="Jason Zhou" w:date="2020-04-10T15:34:00Z" w:initials="JZ">
    <w:p>
      <w:r>
        <w:rPr>
          <w:rFonts w:ascii="Liberation Serif" w:hAnsi="Liberation Serif" w:eastAsia="DejaVu Sans" w:cs="DejaVu Sans"/>
          <w:lang w:val="en-US" w:eastAsia="en-US" w:bidi="en-US"/>
        </w:rPr>
        <w:t>I don’t know, is this the point? I suppose what I’m trying to say is the hybrid and threshold models aren’t perfect with the QxQs, but they do a reasonable job and trying to capture the relatively flat quantiles for most participants doesn’t hinder the prediction of a sharp peak like it does for the variable-precision (continuous) model.</w:t>
      </w:r>
    </w:p>
  </w:comment>
  <w:comment w:id="18" w:author="Unknown Author" w:date="2020-03-31T16:12:00Z" w:initials="">
    <w:p>
      <w:r>
        <w:rPr>
          <w:rFonts w:ascii="Liberation Serif" w:hAnsi="Liberation Serif" w:eastAsia="DejaVu Sans" w:cs="DejaVu Sans"/>
          <w:sz w:val="20"/>
          <w:lang w:val="en-US" w:eastAsia="en-US" w:bidi="en-US"/>
        </w:rPr>
        <w:t>These look much better. I’d give them a whole page if possible. (Also might be worth cranking up the number of bins again, seeing if that better captures the nature of the data.)</w:t>
      </w:r>
    </w:p>
  </w:comment>
  <w:comment w:id="19" w:author="Jason Zhou" w:date="2020-04-03T11:36:00Z" w:initials="JZ">
    <w:p>
      <w:r>
        <w:rPr>
          <w:rFonts w:ascii="Liberation Serif" w:hAnsi="Liberation Serif" w:eastAsia="DejaVu Sans" w:cs="DejaVu Sans"/>
          <w:lang w:val="en-US" w:eastAsia="en-US" w:bidi="en-US"/>
        </w:rPr>
        <w:t>Won’t need this if I talk about p20 in exclusion instead. As Adam said in meeting, could just exclude p20 entirely from figures etc. if the individual differences aren’t interesting enough.</w:t>
      </w:r>
    </w:p>
  </w:comment>
  <w:comment w:id="20" w:author="Jason Zhou" w:date="2020-04-10T15:49:00Z" w:initials="JZ">
    <w:p>
      <w:r>
        <w:rPr>
          <w:rFonts w:ascii="Liberation Serif" w:hAnsi="Liberation Serif" w:eastAsia="DejaVu Sans" w:cs="DejaVu Sans"/>
          <w:lang w:val="en-US" w:eastAsia="en-US" w:bidi="en-US"/>
        </w:rPr>
        <w:t>We could add a figure back into this, or in response to Adam’s notes via email, we can present this data in supp material. All of this is present in earlier drafts, but I really like P’s pared down version of my multi-paragraph goose chase here. It seems a shame to not talk about it at all when we put work into this, could we provide these results if reviewers ask for it to be included?</w:t>
      </w:r>
    </w:p>
  </w:comment>
  <w:comment w:id="21" w:author="Unknown Author" w:date="2020-03-31T16:14:00Z" w:initials="">
    <w:p>
      <w:r>
        <w:rPr>
          <w:rFonts w:ascii="Liberation Serif" w:hAnsi="Liberation Serif" w:eastAsia="DejaVu Sans" w:cs="DejaVu Sans"/>
          <w:i/>
          <w:sz w:val="16"/>
          <w:lang w:val="en-US" w:eastAsia="en-US" w:bidi="en-US"/>
        </w:rPr>
        <w:t>Reply to Jason Zhou (07/01/2020, 21:50): "..."</w:t>
      </w:r>
    </w:p>
    <w:p>
      <w:r>
        <w:rPr>
          <w:rFonts w:ascii="Liberation Serif" w:hAnsi="Liberation Serif" w:eastAsia="DejaVu Sans" w:cs="DejaVu Sans"/>
          <w:sz w:val="20"/>
          <w:lang w:val="en-US" w:eastAsia="en-US" w:bidi="en-US"/>
        </w:rPr>
        <w:t>Should there be a figure to give a flavour of the model fits and the leptokurtosis?</w:t>
      </w:r>
    </w:p>
  </w:comment>
  <w:comment w:id="22" w:author="Unknown Author" w:date="2020-03-31T16:18:00Z" w:initials="">
    <w:p>
      <w:r>
        <w:rPr>
          <w:rFonts w:ascii="Liberation Serif" w:hAnsi="Liberation Serif" w:eastAsia="DejaVu Sans" w:cs="DejaVu Sans"/>
          <w:sz w:val="20"/>
          <w:lang w:val="en-US" w:eastAsia="en-US" w:bidi="en-US"/>
        </w:rPr>
        <w:t>I think this is fine, but perhaps is there a way of more directly tying this to the structure of the introduction (rather than saying its an extension of Harlow and Donaldson, maybe saying that we are interested in the broader question of model adjudication when decisions are formally accounted for, and then discussing H&amp;D).</w:t>
      </w:r>
    </w:p>
  </w:comment>
  <w:comment w:id="23" w:author="Jason Zhou" w:date="2020-04-09T17:51:00Z" w:initials="JZ">
    <w:p>
      <w:r>
        <w:rPr>
          <w:rFonts w:ascii="Liberation Serif" w:hAnsi="Liberation Serif" w:eastAsia="DejaVu Sans" w:cs="DejaVu Sans"/>
          <w:lang w:val="en-US" w:eastAsia="en-US" w:bidi="en-US"/>
        </w:rPr>
        <w:t>Is it worth talking about the DeCarlo (2002, 2003) approach to explaining nonlinear z-ROCs with a mixture of distributions for items attended during study and not attended? Ratcliff &amp; Starns also cite Kelley &amp; Wixted (2001) for this</w:t>
      </w:r>
    </w:p>
  </w:comment>
  <w:comment w:id="24" w:author="Unknown Author" w:date="2020-03-31T16:22:00Z" w:initials="">
    <w:p>
      <w:r>
        <w:rPr>
          <w:rFonts w:ascii="Liberation Serif" w:hAnsi="Liberation Serif" w:eastAsia="DejaVu Sans" w:cs="DejaVu Sans"/>
          <w:sz w:val="20"/>
          <w:lang w:val="en-US" w:eastAsia="en-US" w:bidi="en-US"/>
        </w:rPr>
        <w:t>I think what Philip has added above does a good job with where I thought the Discussion could go, which is discussing the benefits of the approach. (I would also move some of the individual differences comments to the Discussion, and to say that, now that we have a model validated on a small N dataset, we can scale it up to better explore these differences.)</w:t>
      </w:r>
    </w:p>
    <w:p>
      <w:r>
        <w:rPr>
          <w:rFonts w:ascii="Liberation Serif" w:hAnsi="Liberation Serif" w:eastAsia="DejaVu Sans" w:cs="DejaVu Sans"/>
          <w:lang w:val="en-US" w:eastAsia="en-US" w:bidi="en-US"/>
        </w:rPr>
      </w:r>
    </w:p>
    <w:p>
      <w:r>
        <w:rPr>
          <w:rFonts w:ascii="Liberation Serif" w:hAnsi="Liberation Serif" w:eastAsia="DejaVu Sans" w:cs="DejaVu Sans"/>
          <w:sz w:val="20"/>
          <w:lang w:val="en-US" w:eastAsia="en-US" w:bidi="en-US"/>
        </w:rPr>
        <w:t>I think you can make the point (my standard go to) that attributing all variability in responding to just (source) memory-based variability undersells the importance of having a complete decision model.</w:t>
      </w:r>
    </w:p>
  </w:comment>
  <w:comment w:id="25" w:author="Jason Zhou" w:date="2020-01-10T12:43:00Z" w:initials="JZ">
    <w:p>
      <w:r>
        <w:rPr>
          <w:rFonts w:ascii="Liberation Serif" w:hAnsi="Liberation Serif" w:eastAsia="DejaVu Sans" w:cs="DejaVu Sans"/>
          <w:lang w:val="en-US" w:eastAsia="en-US" w:bidi="en-US"/>
        </w:rPr>
        <w:t>Need to update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Style w:val="Pagenumber"/>
      </w:rPr>
      <w:fldChar w:fldCharType="begin"/>
    </w:r>
    <w:r>
      <w:rPr>
        <w:rStyle w:val="Pagenumber"/>
      </w:rPr>
      <w:instrText> PAGE </w:instrText>
    </w:r>
    <w:r>
      <w:rPr>
        <w:rStyle w:val="Pagenumber"/>
      </w:rPr>
      <w:fldChar w:fldCharType="separate"/>
    </w:r>
    <w:r>
      <w:rPr>
        <w:rStyle w:val="Pagenumber"/>
      </w:rPr>
      <w:t>52</w:t>
    </w:r>
    <w:r>
      <w:rPr>
        <w:rStyle w:val="Pagenumber"/>
      </w:rPr>
      <w:fldChar w:fldCharType="end"/>
    </w:r>
  </w:p>
  <w:p>
    <w:pPr>
      <w:pStyle w:val="Header"/>
      <w:rPr/>
    </w:pPr>
    <w:r>
      <w:rPr/>
      <w:t>SOURCE MEMORY DIFFUSION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RUNNING HEAD:  SOURCE MEMORY DIFFUSION</w:t>
    </w:r>
  </w:p>
  <w:p>
    <w:pPr>
      <w:pStyle w:val="Header"/>
      <w:rPr/>
    </w:pPr>
    <w:r>
      <w:rPr/>
    </w:r>
  </w:p>
</w:hd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outlineLvl w:val="0"/>
    </w:pPr>
    <w:rPr>
      <w:b/>
    </w:rPr>
  </w:style>
  <w:style w:type="paragraph" w:styleId="Heading2">
    <w:name w:val="Heading 2"/>
    <w:basedOn w:val="Normal"/>
    <w:next w:val="Normal"/>
    <w:uiPriority w:val="9"/>
    <w:unhideWhenUsed/>
    <w:qFormat/>
    <w:pPr>
      <w:keepNext w:val="true"/>
      <w:keepLines/>
      <w:spacing w:before="360" w:after="80"/>
      <w:ind w:firstLine="720"/>
      <w:outlineLvl w:val="1"/>
    </w:pPr>
    <w:rPr>
      <w:b/>
    </w:rPr>
  </w:style>
  <w:style w:type="paragraph" w:styleId="Heading3">
    <w:name w:val="Heading 3"/>
    <w:basedOn w:val="Normal"/>
    <w:next w:val="Normal"/>
    <w:uiPriority w:val="9"/>
    <w:semiHidden/>
    <w:unhideWhenUsed/>
    <w:qFormat/>
    <w:pPr>
      <w:keepNext w:val="true"/>
      <w:keepLines/>
      <w:ind w:firstLine="72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uiPriority w:val="99"/>
    <w:qFormat/>
    <w:rPr>
      <w:sz w:val="20"/>
      <w:szCs w:val="20"/>
    </w:rPr>
  </w:style>
  <w:style w:type="character" w:styleId="Annotationreference">
    <w:name w:val="annotation reference"/>
    <w:basedOn w:val="DefaultParagraphFont"/>
    <w:uiPriority w:val="99"/>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CommentSubjectChar" w:customStyle="1">
    <w:name w:val="Comment Subject Char"/>
    <w:basedOn w:val="CommentTextChar"/>
    <w:qFormat/>
    <w:rPr>
      <w:b/>
      <w:bCs/>
      <w:sz w:val="20"/>
      <w:szCs w:val="20"/>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Appleconvertedspace" w:customStyle="1">
    <w:name w:val="apple-converted-space"/>
    <w:basedOn w:val="DefaultParagraphFont"/>
    <w:qFormat/>
    <w:rPr/>
  </w:style>
  <w:style w:type="character" w:styleId="Pagenumber">
    <w:name w:val="page number"/>
    <w:basedOn w:val="DefaultParagraphFont"/>
    <w:qFormat/>
    <w:rPr/>
  </w:style>
  <w:style w:type="character" w:styleId="Tgc" w:customStyle="1">
    <w:name w:val="_tgc"/>
    <w:basedOn w:val="DefaultParagraphFont"/>
    <w:qFormat/>
    <w:rPr/>
  </w:style>
  <w:style w:type="character" w:styleId="Math" w:customStyle="1">
    <w:name w:val="math"/>
    <w:basedOn w:val="DefaultParagraphFont"/>
    <w:qFormat/>
    <w:rPr/>
  </w:style>
  <w:style w:type="character" w:styleId="InternetLink" w:customStyle="1">
    <w:name w:val="Internet Link"/>
    <w:rPr>
      <w:color w:val="000080"/>
      <w:u w:val="single"/>
    </w:rPr>
  </w:style>
  <w:style w:type="character" w:styleId="PlaceholderText">
    <w:name w:val="Placeholder Text"/>
    <w:basedOn w:val="DefaultParagraphFont"/>
    <w:qFormat/>
    <w:rPr>
      <w:color w:val="808080"/>
    </w:rPr>
  </w:style>
  <w:style w:type="character" w:styleId="NumberingSymbols" w:customStyle="1">
    <w:name w:val="Numbering Symbols"/>
    <w:qFormat/>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1F497D"/>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uiPriority w:val="99"/>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Normal1" w:customStyle="1">
    <w:name w:val="Normal1"/>
    <w:qFormat/>
    <w:pPr>
      <w:widowControl/>
      <w:bidi w:val="0"/>
      <w:jc w:val="left"/>
    </w:pPr>
    <w:rPr>
      <w:rFonts w:ascii="Times New Roman" w:hAnsi="Times New Roman" w:eastAsia="SimSun" w:cs="Times New Roman"/>
      <w:color w:val="auto"/>
      <w:kern w:val="0"/>
      <w:sz w:val="24"/>
      <w:szCs w:val="24"/>
      <w:lang w:val="en-US" w:eastAsia="en-US" w:bidi="ar-SA"/>
    </w:rPr>
  </w:style>
  <w:style w:type="paragraph" w:styleId="Annotationsubject">
    <w:name w:val="annotation subject"/>
    <w:basedOn w:val="Annotationtext"/>
    <w:next w:val="Annotationtext"/>
    <w:qFormat/>
    <w:pPr/>
    <w:rPr>
      <w:b/>
      <w:bCs/>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17a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AD55D-6550-4AEE-B016-824526AC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LibreOffice/6.2.8.2$Linux_X86_64 LibreOffice_project/20$Build-2</Application>
  <Pages>55</Pages>
  <Words>11729</Words>
  <Characters>64297</Characters>
  <CharactersWithSpaces>75614</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2020-04-10T06:13:00Z</dcterms:created>
  <dc:creator>Jason Zhou</dc:creator>
  <dc:description/>
  <dc:language>en-US</dc:language>
  <cp:lastModifiedBy/>
  <dcterms:modified xsi:type="dcterms:W3CDTF">2020-04-15T11:41:12Z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