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D429" w14:textId="77777777" w:rsidR="0062102E" w:rsidRDefault="00A54FD8">
      <w:pPr>
        <w:ind w:firstLine="720"/>
      </w:pPr>
      <w:bookmarkStart w:id="0" w:name="_GoBack"/>
      <w:r>
        <w:t xml:space="preserve">A key component in understanding the content of a memory is the context in which that content occurred. This contextual component of memory is known as </w:t>
      </w:r>
      <w:r>
        <w:rPr>
          <w:i/>
        </w:rPr>
        <w:t>source memory</w:t>
      </w:r>
      <w:r>
        <w:t>, and its importance can be illustrated in a variety of applications. For instance, when id</w:t>
      </w:r>
      <w:r>
        <w:t>entifying the suspect of a crime, memory arising from events at a crime scene will have very different implications than a chance encounter elsewhere. To successfully complete such an identification task, the witness needs to: 1) encode information about t</w:t>
      </w:r>
      <w:r>
        <w:t xml:space="preserve">he suspect and the context in memory, 2) bind this information into an overall representation, 3) </w:t>
      </w:r>
      <w:proofErr w:type="spellStart"/>
      <w:r>
        <w:t>recognise</w:t>
      </w:r>
      <w:proofErr w:type="spellEnd"/>
      <w:r>
        <w:t xml:space="preserve"> the suspect at a later time, 4) retrieve the source memory representation, and 5) make a response decision on the basis of the retrieved representat</w:t>
      </w:r>
      <w:r>
        <w:t>ion.</w:t>
      </w:r>
    </w:p>
    <w:p w14:paraId="333A09EE" w14:textId="77777777" w:rsidR="0062102E" w:rsidRDefault="0062102E"/>
    <w:p w14:paraId="549BAB8D" w14:textId="77777777" w:rsidR="0062102E" w:rsidRDefault="00A54FD8">
      <w:pPr>
        <w:pStyle w:val="Heading2"/>
      </w:pPr>
      <w:bookmarkStart w:id="1" w:name="_4qy2bf7ebdsl" w:colFirst="0" w:colLast="0"/>
      <w:bookmarkEnd w:id="1"/>
      <w:commentRangeStart w:id="2"/>
      <w:r>
        <w:t>Models of Source Memory</w:t>
      </w:r>
      <w:commentRangeEnd w:id="2"/>
      <w:r>
        <w:commentReference w:id="2"/>
      </w:r>
      <w:r>
        <w:t xml:space="preserve"> Retrieval</w:t>
      </w:r>
    </w:p>
    <w:p w14:paraId="731133FC" w14:textId="77777777" w:rsidR="0062102E" w:rsidRDefault="00A54FD8">
      <w:pPr>
        <w:ind w:firstLine="720"/>
      </w:pPr>
      <w:proofErr w:type="spellStart"/>
      <w:r>
        <w:t>Characterising</w:t>
      </w:r>
      <w:proofErr w:type="spellEnd"/>
      <w:r>
        <w:t xml:space="preserve"> each of these components and how they interact is a task at forefront of memory research, and a variety of different models have been proposed to address this task. Source memory research has been l</w:t>
      </w:r>
      <w:r>
        <w:t xml:space="preserve">argely concerned with the memory retrieval process, specifically whether retrieval is continuous or reliant on a threshold. These competing theories about retrieval make divergent predictions about the outcome of the subsequent response decision made </w:t>
      </w:r>
      <w:proofErr w:type="gramStart"/>
      <w:r>
        <w:t>on th</w:t>
      </w:r>
      <w:r>
        <w:t>e basis of</w:t>
      </w:r>
      <w:proofErr w:type="gramEnd"/>
      <w:r>
        <w:t xml:space="preserve"> the retrieved information. </w:t>
      </w:r>
    </w:p>
    <w:p w14:paraId="76043CBC" w14:textId="77777777" w:rsidR="0062102E" w:rsidRDefault="00A54FD8">
      <w:pPr>
        <w:ind w:firstLine="720"/>
      </w:pP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r>
        <w:t>. In contrast, discrete-state</w:t>
      </w:r>
      <w:r>
        <w:t xml:space="preserve"> </w:t>
      </w:r>
      <w:r>
        <w:t>models hold that retrieval discretely fails</w:t>
      </w:r>
      <w:r>
        <w:t>,</w:t>
      </w:r>
      <w:r>
        <w:t xml:space="preserve"> and so performance is comprised of either precise responses, or guesses when memory is subthreshold (Batchelder &amp; </w:t>
      </w:r>
      <w:proofErr w:type="spellStart"/>
      <w:r>
        <w:t>R</w:t>
      </w:r>
      <w:r>
        <w:t>iefer</w:t>
      </w:r>
      <w:proofErr w:type="spellEnd"/>
      <w:r>
        <w:t xml:space="preserve">, 1990; </w:t>
      </w:r>
      <w:proofErr w:type="spellStart"/>
      <w:r>
        <w:t>K</w:t>
      </w:r>
      <w:r>
        <w:t>lauer</w:t>
      </w:r>
      <w:proofErr w:type="spellEnd"/>
      <w:r>
        <w:t xml:space="preserve"> &amp; Kellen, 2010)</w:t>
      </w:r>
      <w:r>
        <w:t xml:space="preserve">. A third class </w:t>
      </w:r>
      <w:r>
        <w:lastRenderedPageBreak/>
        <w:t>of models can b</w:t>
      </w:r>
      <w:r>
        <w:t>e described as a</w:t>
      </w:r>
      <w:r>
        <w:t xml:space="preserve"> hybrid that draws on elements of both continuous and threshold processes, known as dual-process models.</w:t>
      </w:r>
    </w:p>
    <w:p w14:paraId="1B9AF19C" w14:textId="77777777" w:rsidR="0062102E" w:rsidRDefault="00A54FD8">
      <w:pPr>
        <w:pStyle w:val="Heading2"/>
      </w:pPr>
      <w:bookmarkStart w:id="3" w:name="_b8nu7m8108b9" w:colFirst="0" w:colLast="0"/>
      <w:bookmarkEnd w:id="3"/>
      <w:r>
        <w:t>Dual-Process Models in Recognition Memory</w:t>
      </w:r>
    </w:p>
    <w:p w14:paraId="2233A426" w14:textId="77777777" w:rsidR="0062102E" w:rsidRDefault="00A54FD8">
      <w:pPr>
        <w:ind w:firstLine="720"/>
      </w:pPr>
      <w:r>
        <w:t>The debate between continuous and</w:t>
      </w:r>
      <w:r>
        <w:t xml:space="preserve"> discrete</w:t>
      </w:r>
      <w:r>
        <w:t xml:space="preserve"> models of source memory is situated in the wider r</w:t>
      </w:r>
      <w:r>
        <w:t>ecognition literature, which has posed a range of various models to account for memory performance across experimental paradigms. While source memory is distin</w:t>
      </w:r>
      <w:r>
        <w:t>ct from recognition memory, the two types of memory are often tested simultaneously, and models a</w:t>
      </w:r>
      <w:r>
        <w:t>re accordingly developed to account for both types of tasks (</w:t>
      </w:r>
      <w:proofErr w:type="spellStart"/>
      <w:r>
        <w:t>Starns</w:t>
      </w:r>
      <w:proofErr w:type="spellEnd"/>
      <w:r>
        <w:t>, Hicks, Brown &amp; Martin, 2008). Dual-process models are a class of models which take this integrative approach,</w:t>
      </w:r>
      <w:r>
        <w:t xml:space="preserve"> in which different kinds of retrieval mechanisms support different kinds of m</w:t>
      </w:r>
      <w:r>
        <w:t>emory (Bowers &amp; Schacter, 1990).</w:t>
      </w:r>
      <w:r>
        <w:rPr>
          <w:b/>
        </w:rPr>
        <w:t xml:space="preserve"> </w:t>
      </w:r>
      <w:r>
        <w:t xml:space="preserve">Specifically, in the </w:t>
      </w:r>
      <w:proofErr w:type="spellStart"/>
      <w:r>
        <w:t>Yonelinas</w:t>
      </w:r>
      <w:proofErr w:type="spellEnd"/>
      <w:r>
        <w:t xml:space="preserve"> (1994) dual-process model, episodic memory involves a mixture of two processes—a fast familiarity-based process and a slower recollection process.  Familiarity is defined in this framework as </w:t>
      </w:r>
      <w:r>
        <w:t xml:space="preserve">a quick judgment of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w:t>
      </w:r>
      <w:proofErr w:type="spellStart"/>
      <w:r>
        <w:t>conceptualised</w:t>
      </w:r>
      <w:proofErr w:type="spellEnd"/>
      <w:r>
        <w:t xml:space="preserve"> as a slower search process for qualitative information about the item (Atkinson &amp;</w:t>
      </w:r>
      <w:r>
        <w:t xml:space="preserve"> </w:t>
      </w:r>
      <w:proofErr w:type="spellStart"/>
      <w:r>
        <w:t>Juola</w:t>
      </w:r>
      <w:proofErr w:type="spellEnd"/>
      <w:r>
        <w:t>, 1974). Recollection is assumed to be a threshold retrieval process while familiarity is a continuous signal-detection process (</w:t>
      </w:r>
      <w:proofErr w:type="spellStart"/>
      <w:r>
        <w:t>Yonelinas</w:t>
      </w:r>
      <w:proofErr w:type="spellEnd"/>
      <w:r>
        <w:t>, 1999). The basis for this theoretical assumption is that in recollection people either succeed or fail to retr</w:t>
      </w:r>
      <w:r>
        <w:t xml:space="preserve">ieve information. While the level of detail retrieved may vary, </w:t>
      </w:r>
      <w:proofErr w:type="spellStart"/>
      <w:r>
        <w:t>Yonelinas</w:t>
      </w:r>
      <w:proofErr w:type="spellEnd"/>
      <w:r>
        <w:t xml:space="preserve"> (1999) argues that there is a threshold below which there is no information retrieved. </w:t>
      </w:r>
    </w:p>
    <w:p w14:paraId="322CFB4E" w14:textId="77777777" w:rsidR="0062102E" w:rsidRDefault="00A54FD8">
      <w:r>
        <w:tab/>
        <w:t>Within this framework, performance on an item recognition task is comprised of both familiari</w:t>
      </w:r>
      <w:r>
        <w:t>ty and recollection processes, where targets which were studied will be more familiar than lures which were not (</w:t>
      </w:r>
      <w:proofErr w:type="spellStart"/>
      <w:r>
        <w:t>Yonelinas</w:t>
      </w:r>
      <w:proofErr w:type="spellEnd"/>
      <w:r>
        <w:t xml:space="preserve">, 1994). If successful, recollection enhances recognition by </w:t>
      </w:r>
      <w:r>
        <w:lastRenderedPageBreak/>
        <w:t xml:space="preserve">providing details of the study event. Critically, both targets and lures </w:t>
      </w:r>
      <w:r>
        <w:t>have familiarity, and differ continuously on the degree to which they are familiar, but only targets can be recollected because they are associated with a study event. In source memory tasks, however, familiarity cannot be used to determine the source of i</w:t>
      </w:r>
      <w:r>
        <w:t xml:space="preserve">tems as they have all been </w:t>
      </w:r>
      <w:proofErr w:type="gramStart"/>
      <w:r>
        <w:t>studied, and</w:t>
      </w:r>
      <w:proofErr w:type="gramEnd"/>
      <w:r>
        <w:t xml:space="preserve"> are all equally familiar. Consequently, source memory was </w:t>
      </w:r>
      <w:proofErr w:type="spellStart"/>
      <w:r>
        <w:t>conceptualised</w:t>
      </w:r>
      <w:proofErr w:type="spellEnd"/>
      <w:r>
        <w:t xml:space="preserve"> as a pure recollection process, in that a correct response depends on successful recollection of contextual details of the study event.</w:t>
      </w:r>
      <w:r>
        <w:t xml:space="preserve"> </w:t>
      </w:r>
    </w:p>
    <w:p w14:paraId="02B1AD57" w14:textId="77777777" w:rsidR="0062102E" w:rsidRDefault="00A54FD8">
      <w:pPr>
        <w:ind w:firstLine="720"/>
      </w:pPr>
      <w:r>
        <w:t xml:space="preserve">Given </w:t>
      </w:r>
      <w:r>
        <w:t xml:space="preserve">that source memory is dependent on recollection in this way, and that recollection is </w:t>
      </w:r>
      <w:proofErr w:type="spellStart"/>
      <w:r>
        <w:t>thresholded</w:t>
      </w:r>
      <w:proofErr w:type="spellEnd"/>
      <w:r>
        <w:t xml:space="preserve">, performance in source memory tasks should reflect a retrieval threshold. When forced to make a source memory judgement when recollection fails, participants </w:t>
      </w:r>
      <w:r>
        <w:t>can only guess in the absence of information. The dual-process model therefore predicts that overall performance on source memory tasks should be a mixture of two discrete components: informed responses and no-information guesses, depending on whether reco</w:t>
      </w:r>
      <w:r>
        <w:t>llection succeeds or fails respectively.</w:t>
      </w:r>
    </w:p>
    <w:p w14:paraId="75539973" w14:textId="77777777" w:rsidR="0062102E" w:rsidRDefault="0062102E"/>
    <w:p w14:paraId="2332CF7C" w14:textId="77777777" w:rsidR="0062102E" w:rsidRDefault="00A54FD8">
      <w:pPr>
        <w:rPr>
          <w:b/>
        </w:rPr>
      </w:pPr>
      <w:r>
        <w:rPr>
          <w:b/>
        </w:rPr>
        <w:t>Recognition and Source Memory in Two-choice Tasks</w:t>
      </w:r>
    </w:p>
    <w:p w14:paraId="6F4E9871" w14:textId="77777777" w:rsidR="0062102E" w:rsidRDefault="00A54FD8">
      <w:pPr>
        <w:pStyle w:val="Heading3"/>
      </w:pPr>
      <w:bookmarkStart w:id="4" w:name="_8fp1moxaou1b" w:colFirst="0" w:colLast="0"/>
      <w:bookmarkEnd w:id="4"/>
      <w:r>
        <w:t>Source ROC Predictions.</w:t>
      </w:r>
    </w:p>
    <w:p w14:paraId="353B236F" w14:textId="77777777" w:rsidR="0062102E" w:rsidRDefault="00A54FD8">
      <w:pPr>
        <w:ind w:firstLine="720"/>
      </w:pPr>
      <w:r>
        <w:t xml:space="preserve"> Traditionally, evidence both for and against a threshold in recollection has come from examination of Receiver Operating Characteristic (RO</w:t>
      </w:r>
      <w:r>
        <w:t>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r>
        <w:t>In a two-choice paradigm with two possible sources of information, each source in a continuous model is associated with a normally distributed memory strength, and these distrib</w:t>
      </w:r>
      <w:r>
        <w:t>utions overlap. As the criterion is varied, the ratio of hit rates to false alarms will be such that the resultant shape of the plot is curvilinear (</w:t>
      </w:r>
      <w:proofErr w:type="spellStart"/>
      <w:r>
        <w:t>Slotnick</w:t>
      </w:r>
      <w:proofErr w:type="spellEnd"/>
      <w:r>
        <w:t xml:space="preserve"> &amp; Dodson, 2005). In contrast, in a </w:t>
      </w:r>
      <w:r>
        <w:t>discrete</w:t>
      </w:r>
      <w:r>
        <w:t xml:space="preserve"> model, memory fails to meet either memory threshold in</w:t>
      </w:r>
      <w:r>
        <w:t xml:space="preserve"> the </w:t>
      </w:r>
      <w:r>
        <w:lastRenderedPageBreak/>
        <w:t>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w:t>
      </w:r>
      <w:proofErr w:type="gramStart"/>
      <w:r>
        <w:t>on  a</w:t>
      </w:r>
      <w:proofErr w:type="gramEnd"/>
      <w:r>
        <w:t xml:space="preserve"> </w:t>
      </w:r>
      <w:proofErr w:type="spellStart"/>
      <w:r>
        <w:t>threshol</w:t>
      </w:r>
      <w:r>
        <w:t>ded</w:t>
      </w:r>
      <w:proofErr w:type="spellEnd"/>
      <w:r>
        <w:t xml:space="preserve"> process in recollection, </w:t>
      </w:r>
      <w:r>
        <w:t>also predicts linear source ROCs when familiarity is equivalent across both sources (</w:t>
      </w:r>
      <w:proofErr w:type="spellStart"/>
      <w:r>
        <w:t>Yonelinas</w:t>
      </w:r>
      <w:proofErr w:type="spellEnd"/>
      <w:r>
        <w:t>, 1999).</w:t>
      </w:r>
    </w:p>
    <w:p w14:paraId="38CB20E2" w14:textId="77777777" w:rsidR="0062102E" w:rsidRDefault="00A54FD8">
      <w:pPr>
        <w:pStyle w:val="Heading3"/>
      </w:pPr>
      <w:bookmarkStart w:id="5" w:name="_6n746r9cd8i" w:colFirst="0" w:colLast="0"/>
      <w:bookmarkEnd w:id="5"/>
      <w:r>
        <w:t>Conditioning Source Memory on Recognition Confidence.</w:t>
      </w:r>
    </w:p>
    <w:p w14:paraId="63B9437C" w14:textId="77777777" w:rsidR="0062102E" w:rsidRDefault="00A54FD8">
      <w:pPr>
        <w:ind w:firstLine="720"/>
      </w:pPr>
      <w:commentRangeStart w:id="6"/>
      <w:r>
        <w:t xml:space="preserve">The premise that recollection is </w:t>
      </w:r>
      <w:proofErr w:type="spellStart"/>
      <w:r>
        <w:t>thresholded</w:t>
      </w:r>
      <w:proofErr w:type="spellEnd"/>
      <w:r>
        <w:t xml:space="preserve"> </w:t>
      </w:r>
      <w:commentRangeEnd w:id="6"/>
      <w:r>
        <w:commentReference w:id="6"/>
      </w:r>
      <w:r>
        <w:t>was challenged by a re</w:t>
      </w:r>
      <w:r>
        <w:t xml:space="preserve">analysis of the </w:t>
      </w:r>
      <w:proofErr w:type="spellStart"/>
      <w:proofErr w:type="gramStart"/>
      <w:r>
        <w:t>Yonelinas</w:t>
      </w:r>
      <w:proofErr w:type="spellEnd"/>
      <w:r>
        <w:t>(</w:t>
      </w:r>
      <w:proofErr w:type="gramEnd"/>
      <w:r>
        <w:t xml:space="preserve">1999) data by </w:t>
      </w:r>
      <w:proofErr w:type="spellStart"/>
      <w:r>
        <w:t>Slotnick</w:t>
      </w:r>
      <w:proofErr w:type="spellEnd"/>
      <w:r>
        <w:t xml:space="preserve"> and Dodson (2005), which conditioned source performance on recognition confidence ratings for each item. </w:t>
      </w:r>
      <w:r>
        <w:t>This reanalysis</w:t>
      </w:r>
      <w:r>
        <w:t xml:space="preserve"> demonstrated that if source ROCs were plotted separately for different levels of confi</w:t>
      </w:r>
      <w:r>
        <w:t xml:space="preserve">dence reported in the item recognition task, the highest confidence source ROCs were in fact curvilinear, contrary to the predictions of the dual process model. </w:t>
      </w:r>
      <w:r>
        <w:rPr>
          <w:color w:val="FF0000"/>
        </w:rPr>
        <w:t>As items rated with lower recognition confidence were included, the shape of the overall source</w:t>
      </w:r>
      <w:r>
        <w:rPr>
          <w:color w:val="FF0000"/>
        </w:rPr>
        <w:t xml:space="preserve"> ROC became increasingly linear, and more consistent with the predictions of the threshold model. </w:t>
      </w:r>
      <w:r>
        <w:t xml:space="preserve">The authors argued that only the items </w:t>
      </w:r>
      <w:r>
        <w:t xml:space="preserve">that were recognised with high confidence </w:t>
      </w:r>
      <w:r>
        <w:t>contained diagnostic source information</w:t>
      </w:r>
      <w:r>
        <w:t xml:space="preserve">, </w:t>
      </w:r>
      <w:r>
        <w:t>and that the linearity of source ROC</w:t>
      </w:r>
      <w:r>
        <w:t xml:space="preserve">s observed by </w:t>
      </w:r>
      <w:proofErr w:type="spellStart"/>
      <w:r>
        <w:t>Yonelinas</w:t>
      </w:r>
      <w:proofErr w:type="spellEnd"/>
      <w:r>
        <w:t xml:space="preserve"> (1999) </w:t>
      </w:r>
      <w:commentRangeStart w:id="7"/>
      <w:r>
        <w:t>was an artefact of collapsing across all</w:t>
      </w:r>
      <w:r>
        <w:t xml:space="preserve"> recognition confidence ratings</w:t>
      </w:r>
      <w:r>
        <w:t>,</w:t>
      </w:r>
      <w:commentRangeEnd w:id="7"/>
      <w:r>
        <w:commentReference w:id="7"/>
      </w:r>
      <w:r>
        <w:t xml:space="preserve"> and was thus not evidence of a recollection threshold.</w:t>
      </w:r>
    </w:p>
    <w:p w14:paraId="3D8CF8B1" w14:textId="1FB89852" w:rsidR="00BD0526" w:rsidRDefault="00A54FD8" w:rsidP="00B114CA">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 such condition was when an item and a source were treated holis</w:t>
      </w:r>
      <w:r>
        <w:t xml:space="preserve">tically as one item, known as </w:t>
      </w:r>
      <w:proofErr w:type="spellStart"/>
      <w:r>
        <w:rPr>
          <w:i/>
        </w:rPr>
        <w:t>unitised</w:t>
      </w:r>
      <w:proofErr w:type="spellEnd"/>
      <w:r>
        <w:rPr>
          <w:i/>
        </w:rPr>
        <w:t xml:space="preserve"> familiarity</w:t>
      </w:r>
      <w:r>
        <w:t xml:space="preserve">. While this represented a concession of a continuous contribution under certain circumstances, </w:t>
      </w:r>
      <w:commentRangeStart w:id="8"/>
      <w:proofErr w:type="spellStart"/>
      <w:r>
        <w:t>Klauer</w:t>
      </w:r>
      <w:proofErr w:type="spellEnd"/>
      <w:r>
        <w:t xml:space="preserve"> and Kellen (2010) were later able to account for </w:t>
      </w:r>
      <w:r>
        <w:lastRenderedPageBreak/>
        <w:t>curvilinear ROCs using only discrete states</w:t>
      </w:r>
      <w:commentRangeEnd w:id="8"/>
      <w:r>
        <w:commentReference w:id="8"/>
      </w:r>
      <w:r>
        <w:t xml:space="preserve"> by allo</w:t>
      </w:r>
      <w:r>
        <w:t>wing for variable mapping between recognition confidence ratings and source memory thresholds.</w:t>
      </w:r>
    </w:p>
    <w:p w14:paraId="1A2165B8" w14:textId="77777777" w:rsidR="0062102E" w:rsidRDefault="00A54FD8">
      <w:pPr>
        <w:pStyle w:val="Heading2"/>
        <w:spacing w:before="400" w:after="120"/>
      </w:pPr>
      <w:bookmarkStart w:id="9" w:name="_ejamwzv3f609" w:colFirst="0" w:colLast="0"/>
      <w:bookmarkEnd w:id="9"/>
      <w:r>
        <w:t>C</w:t>
      </w:r>
      <w:r>
        <w:t xml:space="preserve">ontinuous Report               </w:t>
      </w:r>
      <w:r>
        <w:tab/>
      </w:r>
    </w:p>
    <w:p w14:paraId="0E4801AA" w14:textId="77777777" w:rsidR="0062102E" w:rsidRDefault="00A54FD8">
      <w:pPr>
        <w:ind w:firstLine="720"/>
      </w:pPr>
      <w:r>
        <w:t>F</w:t>
      </w:r>
      <w:r>
        <w:t xml:space="preserve">rom the above review, </w:t>
      </w:r>
      <w:proofErr w:type="gramStart"/>
      <w:r>
        <w:t>it can be seen that ROC</w:t>
      </w:r>
      <w:proofErr w:type="gramEnd"/>
      <w:r>
        <w:t xml:space="preserve"> data, which has been central in the debate surrounding source memory, has not been able to distinguish between the competing models of source memory retrieval. </w:t>
      </w:r>
      <w:r>
        <w:t>H</w:t>
      </w:r>
      <w:r>
        <w:t xml:space="preserve">arlow and Donaldson (2013) addressed the need for </w:t>
      </w:r>
      <w:r>
        <w:t>more diagnostic data</w:t>
      </w:r>
      <w:r>
        <w:t xml:space="preserve"> by </w:t>
      </w:r>
      <w:r>
        <w:t xml:space="preserve">replacing binary decision outcomes with </w:t>
      </w:r>
      <w:r>
        <w:t xml:space="preserve">continuous </w:t>
      </w:r>
      <w:proofErr w:type="gramStart"/>
      <w:r>
        <w:t>report .</w:t>
      </w:r>
      <w:proofErr w:type="gramEnd"/>
      <w:r>
        <w:t xml:space="preserve"> In the </w:t>
      </w:r>
      <w:r>
        <w:t xml:space="preserve">Harlow and Donaldson (2013) </w:t>
      </w:r>
      <w:r>
        <w:t xml:space="preserve">continuous report paradigm, </w:t>
      </w:r>
      <w:r>
        <w:t>s</w:t>
      </w:r>
      <w:r>
        <w:t xml:space="preserve">ource information </w:t>
      </w:r>
      <w:r>
        <w:t>wa</w:t>
      </w:r>
      <w:r>
        <w:t>s provided by a point located on the c</w:t>
      </w:r>
      <w:r>
        <w:t>ircumference of a circle, which was paired with a word item and represented context. When later cued with that word, participants were required to reproduce the paired location, which allowed for an objective measure of error in the angle between the repor</w:t>
      </w:r>
      <w:r>
        <w:t xml:space="preserve">ted and true source locations. Continuously distributed source information allowed for measurement of not only response accuracy in source memory tasks, but also the distribution of response </w:t>
      </w:r>
      <w:proofErr w:type="gramStart"/>
      <w:r>
        <w:t>errors .</w:t>
      </w:r>
      <w:proofErr w:type="gramEnd"/>
      <w:r>
        <w:t xml:space="preserve"> Instead of </w:t>
      </w:r>
      <w:proofErr w:type="spellStart"/>
      <w:r>
        <w:t>categorising</w:t>
      </w:r>
      <w:proofErr w:type="spellEnd"/>
      <w:r>
        <w:t xml:space="preserve"> responses as either correct or i</w:t>
      </w:r>
      <w:r>
        <w:t xml:space="preserve">ncorrect as in a two-choice task, capturing a whole distribution of response error provides considerably more information, which can be more diagnostic of underlying models. The </w:t>
      </w:r>
      <w:r>
        <w:t>threshold</w:t>
      </w:r>
      <w:r>
        <w:t xml:space="preserve"> and continuous models of source memory make divergent predictions ab</w:t>
      </w:r>
      <w:r>
        <w:t>out the distributions of response errors in such a task.</w:t>
      </w:r>
    </w:p>
    <w:p w14:paraId="7B74849C" w14:textId="07B8489A" w:rsidR="0062102E" w:rsidRDefault="00A54FD8">
      <w:pPr>
        <w:ind w:firstLine="720"/>
      </w:pPr>
      <w:r>
        <w:t xml:space="preserve">Under the threshold model, for any items that fall below the recollection threshold, responses will be guesses distributed uniformly across all possible response options. Items that are successfully </w:t>
      </w:r>
      <w:r>
        <w:t xml:space="preserve">recollected by exceeding this threshold then fall on a Gaussian distribution </w:t>
      </w:r>
      <w:proofErr w:type="spellStart"/>
      <w:r>
        <w:t>centred</w:t>
      </w:r>
      <w:proofErr w:type="spellEnd"/>
      <w:r>
        <w:t xml:space="preserve"> on the correct response with high accuracy and precision. A mixture of these two processes </w:t>
      </w:r>
      <w:r>
        <w:t>then produces a</w:t>
      </w:r>
      <w:r>
        <w:t xml:space="preserve"> high-peaked, heavy tailed distribution (Harlow &amp; Donaldson, 2013</w:t>
      </w:r>
      <w:r>
        <w:t xml:space="preserve">). </w:t>
      </w:r>
      <w:r>
        <w:rPr>
          <w:color w:val="FF0000"/>
        </w:rPr>
        <w:t>This work is paralleled in</w:t>
      </w:r>
      <w:r>
        <w:rPr>
          <w:color w:val="FF0000"/>
        </w:rPr>
        <w:t xml:space="preserve"> the visual working memory literature, where Zhang and Luck (2008)</w:t>
      </w:r>
      <w:r>
        <w:rPr>
          <w:color w:val="FF0000"/>
        </w:rPr>
        <w:t xml:space="preserve"> </w:t>
      </w:r>
      <w:r>
        <w:rPr>
          <w:color w:val="FF0000"/>
        </w:rPr>
        <w:lastRenderedPageBreak/>
        <w:t xml:space="preserve">found that the resolution of working memory representations were fixed, and items are therefore encoded in a discrete manner. </w:t>
      </w:r>
      <w:r>
        <w:t xml:space="preserve">Source accuracy data was found to </w:t>
      </w:r>
      <w:r>
        <w:t xml:space="preserve">fit </w:t>
      </w:r>
      <w:r>
        <w:t>the Harlow and Donaldson (2013) threshold</w:t>
      </w:r>
      <w:r>
        <w:t xml:space="preserve"> model better than </w:t>
      </w:r>
      <w:r>
        <w:t>its</w:t>
      </w:r>
      <w:r>
        <w:t xml:space="preserve"> continuous</w:t>
      </w:r>
      <w:r>
        <w:t xml:space="preserve"> counterpart</w:t>
      </w:r>
      <w:r>
        <w:t>, which instead predicts that responses made with moderate memory strength would be reflected a wider spread of responses around the true location with no uniform gue</w:t>
      </w:r>
      <w:r>
        <w:t>ssing structure.</w:t>
      </w:r>
    </w:p>
    <w:p w14:paraId="50583A3E" w14:textId="63BF346A" w:rsidR="00B114CA" w:rsidRDefault="00B114CA" w:rsidP="00B114CA"/>
    <w:p w14:paraId="7F5523BC" w14:textId="77777777" w:rsidR="00B114CA" w:rsidRDefault="00B114CA" w:rsidP="00B114CA">
      <w:pPr>
        <w:rPr>
          <w:b/>
        </w:rPr>
      </w:pPr>
      <w:r>
        <w:rPr>
          <w:b/>
        </w:rPr>
        <w:t xml:space="preserve">Source Memory for </w:t>
      </w:r>
      <w:proofErr w:type="spellStart"/>
      <w:r>
        <w:rPr>
          <w:b/>
        </w:rPr>
        <w:t>Unrecognised</w:t>
      </w:r>
      <w:proofErr w:type="spellEnd"/>
      <w:r>
        <w:rPr>
          <w:b/>
        </w:rPr>
        <w:t xml:space="preserve"> Items.</w:t>
      </w:r>
    </w:p>
    <w:p w14:paraId="0048CE26" w14:textId="34F169BC" w:rsidR="00B114CA" w:rsidRDefault="00B114CA" w:rsidP="00B114CA">
      <w:r>
        <w:tab/>
        <w:t xml:space="preserve">An additional dimension to this debate revolves around the existence of source memory for items which are not recognised. DeCarlo (200) built upon continuous models of source memory to propose that in addition to two response probability distributions associated with each source in a two-choice task, there was a third distribution for items which were not in memory. </w:t>
      </w:r>
      <w:commentRangeStart w:id="10"/>
      <w:r>
        <w:t xml:space="preserve">A mixture model that consisted of a process each for recognised and </w:t>
      </w:r>
      <w:proofErr w:type="spellStart"/>
      <w:r>
        <w:t>unrecognised</w:t>
      </w:r>
      <w:proofErr w:type="spellEnd"/>
      <w:r>
        <w:t xml:space="preserve"> items was found to account for source ROCs</w:t>
      </w:r>
      <w:commentRangeEnd w:id="10"/>
      <w:r>
        <w:commentReference w:id="10"/>
      </w:r>
      <w:r>
        <w:t xml:space="preserve">. </w:t>
      </w:r>
      <w:proofErr w:type="gramStart"/>
      <w:r>
        <w:t>Again</w:t>
      </w:r>
      <w:proofErr w:type="gramEnd"/>
      <w:r>
        <w:t xml:space="preserve"> using data from </w:t>
      </w:r>
      <w:proofErr w:type="spellStart"/>
      <w:r>
        <w:t>Yonelinas</w:t>
      </w:r>
      <w:proofErr w:type="spellEnd"/>
      <w:r>
        <w:t xml:space="preserve"> (1999) and </w:t>
      </w:r>
      <w:proofErr w:type="spellStart"/>
      <w:r>
        <w:t>Slotnick</w:t>
      </w:r>
      <w:proofErr w:type="spellEnd"/>
      <w:r>
        <w:t xml:space="preserve"> et al. (2000), </w:t>
      </w:r>
      <w:proofErr w:type="spellStart"/>
      <w:r>
        <w:t>Hautus</w:t>
      </w:r>
      <w:proofErr w:type="spellEnd"/>
      <w:r>
        <w:t xml:space="preserve">, MacMillan, and </w:t>
      </w:r>
      <w:proofErr w:type="spellStart"/>
      <w:r>
        <w:t>Rotello</w:t>
      </w:r>
      <w:proofErr w:type="spellEnd"/>
      <w:r>
        <w:t xml:space="preserve"> (2008) improved upon this initial mixture model by introducing source-guessing for </w:t>
      </w:r>
      <w:proofErr w:type="spellStart"/>
      <w:r>
        <w:t>unrecognised</w:t>
      </w:r>
      <w:proofErr w:type="spellEnd"/>
      <w:r>
        <w:t xml:space="preserve"> items. With this mixture component, which describes a state in which source memory retrieval is simply not present, continuous models are able to produce similar predictions to threshold models without reliance on a source memory threshold. Consequently, continuous, discrete-state and dual-process models were all able to produce similar predictions about responses in two-choice source memory </w:t>
      </w:r>
      <w:proofErr w:type="gramStart"/>
      <w:r>
        <w:t>tasks, and</w:t>
      </w:r>
      <w:proofErr w:type="gramEnd"/>
      <w:r>
        <w:t xml:space="preserve"> were therefore all viable models of source memory retrieval.</w:t>
      </w:r>
    </w:p>
    <w:p w14:paraId="2C723122" w14:textId="242A5888" w:rsidR="00B114CA" w:rsidRDefault="00B114CA" w:rsidP="00B114CA">
      <w:pPr>
        <w:ind w:firstLine="720"/>
      </w:pPr>
      <w:proofErr w:type="spellStart"/>
      <w:r>
        <w:t>Malejka</w:t>
      </w:r>
      <w:proofErr w:type="spellEnd"/>
      <w:r>
        <w:t xml:space="preserve"> and Broder found evidence that there was no source memory for </w:t>
      </w:r>
      <w:proofErr w:type="spellStart"/>
      <w:r>
        <w:t>unrecognised</w:t>
      </w:r>
      <w:proofErr w:type="spellEnd"/>
      <w:r>
        <w:t xml:space="preserve"> items. Our study kind of uses the same logic, we avoid implicit feedback by testing all items on source, unlike </w:t>
      </w:r>
      <w:proofErr w:type="spellStart"/>
      <w:r>
        <w:t>Starns</w:t>
      </w:r>
      <w:proofErr w:type="spellEnd"/>
      <w:r>
        <w:t xml:space="preserve"> </w:t>
      </w:r>
    </w:p>
    <w:p w14:paraId="070EC3AB" w14:textId="5C753E14" w:rsidR="00B114CA" w:rsidRDefault="00B114CA" w:rsidP="00B114CA"/>
    <w:p w14:paraId="18DB5FA2" w14:textId="45324798" w:rsidR="00B114CA" w:rsidRDefault="00B114CA" w:rsidP="00B114CA">
      <w:proofErr w:type="spellStart"/>
      <w:r>
        <w:t>Hautus</w:t>
      </w:r>
      <w:proofErr w:type="spellEnd"/>
      <w:r>
        <w:t xml:space="preserve"> model said that source retrieval </w:t>
      </w:r>
      <w:proofErr w:type="spellStart"/>
      <w:r>
        <w:t>isnt</w:t>
      </w:r>
      <w:proofErr w:type="spellEnd"/>
      <w:r>
        <w:t xml:space="preserve"> even attempted for </w:t>
      </w:r>
      <w:proofErr w:type="spellStart"/>
      <w:r>
        <w:t>unreconigsed</w:t>
      </w:r>
      <w:proofErr w:type="spellEnd"/>
      <w:r>
        <w:t xml:space="preserve"> items, this can be an explanation from a continuous model to account for heavy tails in the data.</w:t>
      </w:r>
    </w:p>
    <w:p w14:paraId="309A8B91" w14:textId="18ABD938" w:rsidR="00B114CA" w:rsidRDefault="00B114CA" w:rsidP="00B114CA">
      <w:r>
        <w:t xml:space="preserve">Predicts that if </w:t>
      </w:r>
      <w:proofErr w:type="spellStart"/>
      <w:r>
        <w:t>unrecognised</w:t>
      </w:r>
      <w:proofErr w:type="spellEnd"/>
      <w:r>
        <w:t xml:space="preserve"> items are excluded, the heavy tailed tails will disappear</w:t>
      </w:r>
    </w:p>
    <w:p w14:paraId="04193C2F" w14:textId="13B90613" w:rsidR="00B114CA" w:rsidRDefault="00B114CA" w:rsidP="00B114CA">
      <w:pPr>
        <w:rPr>
          <w:color w:val="FF0000"/>
        </w:rPr>
      </w:pPr>
      <w:r>
        <w:tab/>
      </w:r>
      <w:r w:rsidRPr="00BD0526">
        <w:rPr>
          <w:color w:val="FF0000"/>
        </w:rPr>
        <w:t>Elaborate further</w:t>
      </w:r>
      <w:r>
        <w:rPr>
          <w:color w:val="FF0000"/>
        </w:rPr>
        <w:t xml:space="preserve"> empirical finding. </w:t>
      </w:r>
    </w:p>
    <w:p w14:paraId="3C2ABA61" w14:textId="4E3CECE9" w:rsidR="00B114CA" w:rsidRDefault="00B114CA" w:rsidP="00B114CA">
      <w:pPr>
        <w:rPr>
          <w:color w:val="FF0000"/>
        </w:rPr>
      </w:pPr>
    </w:p>
    <w:p w14:paraId="12598009" w14:textId="6F48E65E" w:rsidR="00B114CA" w:rsidRDefault="00B114CA" w:rsidP="00B114CA">
      <w:pPr>
        <w:rPr>
          <w:color w:val="FF0000"/>
        </w:rPr>
      </w:pPr>
      <w:r>
        <w:rPr>
          <w:color w:val="FF0000"/>
        </w:rPr>
        <w:t>Two aims</w:t>
      </w:r>
    </w:p>
    <w:p w14:paraId="5ABA9BA8" w14:textId="28DD4213" w:rsidR="00B114CA" w:rsidRDefault="00B114CA" w:rsidP="00B114CA">
      <w:pPr>
        <w:rPr>
          <w:color w:val="FF0000"/>
        </w:rPr>
      </w:pPr>
      <w:proofErr w:type="spellStart"/>
      <w:r>
        <w:rPr>
          <w:color w:val="FF0000"/>
        </w:rPr>
        <w:t>Emprical</w:t>
      </w:r>
      <w:proofErr w:type="spellEnd"/>
      <w:r>
        <w:rPr>
          <w:color w:val="FF0000"/>
        </w:rPr>
        <w:t>, recognition phase, condition source on recognition to evaluate if a continuous model can account</w:t>
      </w:r>
    </w:p>
    <w:p w14:paraId="1B2E579D" w14:textId="6D61B06F" w:rsidR="00B114CA" w:rsidRDefault="00B114CA" w:rsidP="00B114CA">
      <w:r>
        <w:rPr>
          <w:color w:val="FF0000"/>
        </w:rPr>
        <w:t>Second is to model with circular diffusion model to determine the extent to which RTs constrain the results</w:t>
      </w:r>
    </w:p>
    <w:p w14:paraId="394AA2D2" w14:textId="77777777" w:rsidR="00B114CA" w:rsidRDefault="00B114CA" w:rsidP="00B114CA"/>
    <w:p w14:paraId="40105B2B" w14:textId="77777777" w:rsidR="0062102E" w:rsidRDefault="00A54FD8">
      <w:pPr>
        <w:pStyle w:val="Heading2"/>
        <w:spacing w:before="400" w:after="120"/>
      </w:pPr>
      <w:bookmarkStart w:id="11" w:name="_ur69tstl6yth" w:colFirst="0" w:colLast="0"/>
      <w:bookmarkEnd w:id="11"/>
      <w:r>
        <w:t>Decision-Making</w:t>
      </w:r>
    </w:p>
    <w:p w14:paraId="4E865C42" w14:textId="1E147650" w:rsidR="0062102E" w:rsidRDefault="00A54FD8">
      <w:pPr>
        <w:ind w:firstLine="720"/>
        <w:rPr>
          <w:color w:val="FF0000"/>
        </w:rPr>
      </w:pPr>
      <w:r>
        <w:t xml:space="preserve">In completing a memory retrieval task, not only do participants need to retrieve information from memory, they must also </w:t>
      </w:r>
      <w:proofErr w:type="gramStart"/>
      <w:r>
        <w:t>make a decision</w:t>
      </w:r>
      <w:proofErr w:type="gramEnd"/>
      <w:r>
        <w:t xml:space="preserve"> on how to respond based on the information retrieved. In this sense, the information retrieved from memory can be thoug</w:t>
      </w:r>
      <w:r>
        <w:t xml:space="preserve">ht of as evidence for the decision process. Much of the existing body of source memory research, particularly in the emergent continuous report paradigm, lacks a rigorous account of properties of the </w:t>
      </w:r>
      <w:proofErr w:type="gramStart"/>
      <w:r>
        <w:t>decision making</w:t>
      </w:r>
      <w:proofErr w:type="gramEnd"/>
      <w:r>
        <w:t xml:space="preserve"> process. </w:t>
      </w:r>
      <w:commentRangeStart w:id="12"/>
      <w:r>
        <w:t>Past research in the recognitio</w:t>
      </w:r>
      <w:r>
        <w:t xml:space="preserve">n memory literature has demonstrated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w:t>
      </w:r>
      <w:r>
        <w:t xml:space="preserve">2; Ratcliff &amp; </w:t>
      </w:r>
      <w:proofErr w:type="spellStart"/>
      <w:r>
        <w:t>Starns</w:t>
      </w:r>
      <w:proofErr w:type="spellEnd"/>
      <w:r>
        <w:t xml:space="preserve">, 2013). </w:t>
      </w:r>
      <w:commentRangeEnd w:id="12"/>
      <w:r>
        <w:commentReference w:id="12"/>
      </w:r>
      <w:r>
        <w:t xml:space="preserve"> </w:t>
      </w:r>
    </w:p>
    <w:p w14:paraId="138E2F70" w14:textId="0930C787" w:rsidR="0062102E" w:rsidRDefault="00A54FD8">
      <w:pPr>
        <w:ind w:firstLine="720"/>
      </w:pPr>
      <w:r>
        <w:lastRenderedPageBreak/>
        <w:t>Diffusion models have emerged as increasingly influential accounts of both response time (RT) and response accuracy data in decision tasks, and naturally explains well-documented phenomena like speed-accuracy</w:t>
      </w:r>
      <w:r>
        <w:t xml:space="preserve"> trade-off effects (Ratcliff, Smith, Brown &amp; </w:t>
      </w:r>
      <w:proofErr w:type="spellStart"/>
      <w:r>
        <w:t>McKoon</w:t>
      </w:r>
      <w:proofErr w:type="spellEnd"/>
      <w:r>
        <w:t>, 2016). Diffusion models have also been used extensively in the past to model memory retrieval, and more recent research has proposed a general theory of memory and decision making in which decisions abou</w:t>
      </w:r>
      <w:r>
        <w:t xml:space="preserve">t stimuli in visual working memory are made using a diffusion process (Smith &amp; Ratcliff, 2009). </w:t>
      </w:r>
      <w:r w:rsidR="00B114CA" w:rsidRPr="00B114CA">
        <w:rPr>
          <w:color w:val="FF0000"/>
        </w:rPr>
        <w:t>A counter-intuitive property of diffusion is that on any one trial, response and error RT are the same, its only when this varies across trial and are averaged that we get a slow error pattern</w:t>
      </w:r>
    </w:p>
    <w:p w14:paraId="50BE9EE6" w14:textId="77777777" w:rsidR="0062102E" w:rsidRDefault="00A54FD8">
      <w:pPr>
        <w:ind w:firstLine="720"/>
      </w:pPr>
      <w:r>
        <w:t xml:space="preserve">The diffusion model has additional sources of variability, </w:t>
      </w:r>
      <w:proofErr w:type="gramStart"/>
      <w:r>
        <w:t>including  moment</w:t>
      </w:r>
      <w:proofErr w:type="gramEnd"/>
      <w:r>
        <w:t>-to-moment variability in the accumulation of evidence and trial-to-trial variabili</w:t>
      </w:r>
      <w:r>
        <w:t xml:space="preserve">ty in the quality of evidence entering the decision process (Figure 6). The former moment-to-moment variability relates to strength of the evidence provided by the retrieval </w:t>
      </w:r>
      <w:proofErr w:type="gramStart"/>
      <w:r>
        <w:t>process, and</w:t>
      </w:r>
      <w:proofErr w:type="gramEnd"/>
      <w:r>
        <w:t xml:space="preserve"> can be thought of as noise in t</w:t>
      </w:r>
      <w:r>
        <w:t>he evidence accumulation process</w:t>
      </w:r>
      <w:r>
        <w:t xml:space="preserve">. The </w:t>
      </w:r>
      <w:r>
        <w:t>rate of evidence accumulation on any trial is known as the drift rate. Drift rate can vary across trials,</w:t>
      </w:r>
      <w:r>
        <w:t xml:space="preserve"> with high drift rate trials resulting in high accuracy and fast RTs, while trials with l</w:t>
      </w:r>
      <w:r>
        <w:t xml:space="preserve">ower drift rates </w:t>
      </w:r>
      <w:r>
        <w:t>resulting in slower and less accurate</w:t>
      </w:r>
      <w:r>
        <w:t xml:space="preserve"> responses (Ratcliff, Smith &amp; </w:t>
      </w:r>
      <w:proofErr w:type="spellStart"/>
      <w:r>
        <w:t>McKoon</w:t>
      </w:r>
      <w:proofErr w:type="spellEnd"/>
      <w:r>
        <w:t xml:space="preserve">, 2015). </w:t>
      </w:r>
    </w:p>
    <w:p w14:paraId="3BE2B4C6" w14:textId="77777777" w:rsidR="0062102E" w:rsidRDefault="00A54FD8">
      <w:pPr>
        <w:ind w:firstLine="720"/>
      </w:pPr>
      <w:r>
        <w:t>The relationship between accuracy and RT is intuitive: when evidence for the correct response is good, trial responses will be more accurate on average, and for each trial, the accumulator will move towards the</w:t>
      </w:r>
      <w:r>
        <w:t xml:space="preserve"> correct boundary more than the error, resulting in higher drift rates and hence faster RT. If, on the other hand, decisions made on the basis of lower quality information will take longer to </w:t>
      </w:r>
      <w:proofErr w:type="gramStart"/>
      <w:r>
        <w:t>make, and</w:t>
      </w:r>
      <w:proofErr w:type="gramEnd"/>
      <w:r>
        <w:t xml:space="preserve"> will on average be less accurate. Consequently, when d</w:t>
      </w:r>
      <w:r>
        <w:t xml:space="preserve">rift rate varies between trials, then the mean RT for correct responses will be shorter than mean </w:t>
      </w:r>
      <w:r>
        <w:lastRenderedPageBreak/>
        <w:t xml:space="preserve">RT for errors, because drift rates are faster in the former. This phenomenon, known as a </w:t>
      </w:r>
      <w:r>
        <w:rPr>
          <w:i/>
        </w:rPr>
        <w:t xml:space="preserve">slow error </w:t>
      </w:r>
      <w:r>
        <w:t>pattern,</w:t>
      </w:r>
      <w:r>
        <w:rPr>
          <w:i/>
        </w:rPr>
        <w:t xml:space="preserve"> </w:t>
      </w:r>
      <w:r>
        <w:t>has been reliably observed when decision making i</w:t>
      </w:r>
      <w:r>
        <w:t xml:space="preserve">s difficult (Ratcliff et al., 2016). </w:t>
      </w:r>
    </w:p>
    <w:p w14:paraId="033DD3E5" w14:textId="77777777" w:rsidR="0062102E" w:rsidRDefault="00A54FD8">
      <w:pPr>
        <w:ind w:firstLine="720"/>
      </w:pPr>
      <w:r>
        <w:t>By introducing the Circular Diffusion Model, Smith (2016) extended the standard diffusion model, which models decision making between two discrete options, to account for continuous report tasks. In the circular model,</w:t>
      </w:r>
      <w:r>
        <w:t xml:space="preserve"> evidence accumulation is defined as a vector in 2-dimensional space, in that it has both a direction towards any point on the circular boundary, and a distance travelled to reach that point. When a response is made, the magnitude of the drift vector deter</w:t>
      </w:r>
      <w:r>
        <w:t>mines RT like drift rate does in the standard model, while the point at which it exits the boundary determines the response outcome.</w:t>
      </w:r>
    </w:p>
    <w:p w14:paraId="75F6A200" w14:textId="77777777" w:rsidR="0062102E" w:rsidRDefault="00A54FD8">
      <w:pPr>
        <w:ind w:firstLine="720"/>
      </w:pPr>
      <w:r>
        <w:t xml:space="preserve">Although the circular diffusion model does not </w:t>
      </w:r>
      <w:proofErr w:type="spellStart"/>
      <w:r>
        <w:t>categorise</w:t>
      </w:r>
      <w:proofErr w:type="spellEnd"/>
      <w:r>
        <w:t xml:space="preserve"> responses as correct or incorrect, the same relationships between</w:t>
      </w:r>
      <w:r>
        <w:t xml:space="preserve"> RT and response accuracy are predicted when RTs are considered as a continuous function of accuracy, quantifiable by the angle between the true and reported locations on the criterion boundary. </w:t>
      </w:r>
      <w:r>
        <w:t>Trial-to-trial v</w:t>
      </w:r>
      <w:r>
        <w:t>ariability in drift rate results in responses</w:t>
      </w:r>
      <w:r>
        <w:t xml:space="preserve"> closer to the true location having faster RTs, while those further away will have slower RTs, producing slow errors. Variability in criterion leads to the inverse, producing fast errors.</w:t>
      </w:r>
    </w:p>
    <w:p w14:paraId="11B1C17B" w14:textId="77777777" w:rsidR="0062102E" w:rsidRDefault="00A54FD8">
      <w:pPr>
        <w:ind w:firstLine="720"/>
        <w:rPr>
          <w:color w:val="FF0000"/>
        </w:rPr>
      </w:pPr>
      <w:r>
        <w:rPr>
          <w:color w:val="FF0000"/>
        </w:rPr>
        <w:t>Critically, while a fixed drift rate produces a von Mises response e</w:t>
      </w:r>
      <w:r>
        <w:rPr>
          <w:color w:val="FF0000"/>
        </w:rPr>
        <w:t xml:space="preserve">rror distribution, the introduction of trial-to-trial variability in drift rate results in high, narrow peaks which reflect those trials with fast, accurate responses, while the subset of trials with low drift rates produce much wider error distributions. </w:t>
      </w:r>
      <w:r>
        <w:rPr>
          <w:color w:val="FF0000"/>
        </w:rPr>
        <w:t xml:space="preserve">The effect of averaging across all trials is an overall distribution that can have a narrow peak and raised tails (Smith, 2016). In this way, the circular diffusion model </w:t>
      </w:r>
      <w:proofErr w:type="gramStart"/>
      <w:r>
        <w:rPr>
          <w:color w:val="FF0000"/>
        </w:rPr>
        <w:t>is able to</w:t>
      </w:r>
      <w:proofErr w:type="gramEnd"/>
      <w:r>
        <w:rPr>
          <w:color w:val="FF0000"/>
        </w:rPr>
        <w:t xml:space="preserve"> produce </w:t>
      </w:r>
      <w:commentRangeStart w:id="13"/>
      <w:r>
        <w:rPr>
          <w:color w:val="FF0000"/>
        </w:rPr>
        <w:t>heavy-tailed distributions which have, to this point, been thought</w:t>
      </w:r>
      <w:r>
        <w:rPr>
          <w:color w:val="FF0000"/>
        </w:rPr>
        <w:t xml:space="preserve"> to </w:t>
      </w:r>
      <w:proofErr w:type="spellStart"/>
      <w:r>
        <w:rPr>
          <w:color w:val="FF0000"/>
        </w:rPr>
        <w:t>characterise</w:t>
      </w:r>
      <w:proofErr w:type="spellEnd"/>
      <w:r>
        <w:rPr>
          <w:color w:val="FF0000"/>
        </w:rPr>
        <w:t xml:space="preserve"> an underlying memory retrieval threshold.</w:t>
      </w:r>
      <w:commentRangeEnd w:id="13"/>
      <w:r>
        <w:commentReference w:id="13"/>
      </w:r>
    </w:p>
    <w:p w14:paraId="6B58503E" w14:textId="77777777" w:rsidR="0062102E" w:rsidRDefault="00A54FD8">
      <w:pPr>
        <w:pStyle w:val="Heading2"/>
        <w:spacing w:before="400" w:after="120"/>
      </w:pPr>
      <w:bookmarkStart w:id="14" w:name="_4le4t2xgsmii" w:colFirst="0" w:colLast="0"/>
      <w:bookmarkEnd w:id="14"/>
      <w:r>
        <w:lastRenderedPageBreak/>
        <w:t>The Current Study</w:t>
      </w:r>
    </w:p>
    <w:p w14:paraId="34A2A2C1" w14:textId="703D616E" w:rsidR="00025F10" w:rsidRDefault="00A54FD8">
      <w:pPr>
        <w:ind w:firstLine="720"/>
      </w:pPr>
      <w:r>
        <w:t>The primary motivation for the current research is to determine if such a model, which provides an elaborated account of the decision-making process, accounts for performance i</w:t>
      </w:r>
      <w:r>
        <w:t xml:space="preserve">n continuous report source memory tasks without requiring a retrieval threshold mechanism. In doing so, we aim to provide an account of both response times and response error distributions in such a task. </w:t>
      </w:r>
      <w:r w:rsidR="00025F10">
        <w:rPr>
          <w:color w:val="FF0000"/>
        </w:rPr>
        <w:t xml:space="preserve">The experimental task also introduces a word imageability and concreteness manipulation, as rated on the </w:t>
      </w:r>
      <w:r w:rsidR="00025F10">
        <w:t xml:space="preserve">MRC Psycholinguistic Database. Harlow and Donaldson (2013) selected words for low ratings on both metrics to prevent participants from </w:t>
      </w:r>
      <w:proofErr w:type="spellStart"/>
      <w:r w:rsidR="00025F10">
        <w:t>visualising</w:t>
      </w:r>
      <w:proofErr w:type="spellEnd"/>
      <w:r w:rsidR="00025F10">
        <w:t xml:space="preserve"> a concrete object in a source location. We draw stimuli from pools of low and high imageability and concreteness to examine the effect of these attributes.</w:t>
      </w:r>
    </w:p>
    <w:p w14:paraId="680CB849" w14:textId="40F82DEB" w:rsidR="0062102E" w:rsidRDefault="00A54FD8" w:rsidP="00025F10">
      <w:pPr>
        <w:ind w:firstLine="720"/>
      </w:pPr>
      <w:r>
        <w:t>In addition to this, we also aim to address the pot</w:t>
      </w:r>
      <w:r>
        <w:t xml:space="preserve">ential influence recognition has on performance in continuous source memory tasks by conditioning source responses on recognition confidence, as </w:t>
      </w:r>
      <w:proofErr w:type="spellStart"/>
      <w:r>
        <w:t>Slotnick</w:t>
      </w:r>
      <w:proofErr w:type="spellEnd"/>
      <w:r>
        <w:t xml:space="preserve"> and Dodson (2005) did in the 2AFC domain.</w:t>
      </w:r>
      <w:r>
        <w:t xml:space="preserve"> </w:t>
      </w:r>
    </w:p>
    <w:p w14:paraId="4B06AD5F" w14:textId="51E76762" w:rsidR="0062102E" w:rsidRDefault="00F306DA">
      <w:pPr>
        <w:pStyle w:val="Heading2"/>
      </w:pPr>
      <w:bookmarkStart w:id="15" w:name="_kn5qh1hhsfa" w:colFirst="0" w:colLast="0"/>
      <w:bookmarkEnd w:id="15"/>
      <w:r>
        <w:t xml:space="preserve">Computational </w:t>
      </w:r>
      <w:r w:rsidR="00A54FD8">
        <w:t>Modelling</w:t>
      </w:r>
    </w:p>
    <w:p w14:paraId="5A360215" w14:textId="49A96446" w:rsidR="0062102E" w:rsidRDefault="00A54FD8">
      <w:r>
        <w:tab/>
      </w:r>
      <w:r w:rsidR="00025F10" w:rsidRPr="005141FF">
        <w:t xml:space="preserve">Within this conceptual framework there are three alternative versions of the circular diffusion model that express different hypotheses about the process of memory retrieval. The first model is a single-process continuous model of source memory with </w:t>
      </w:r>
      <w:r w:rsidR="00025F10">
        <w:t xml:space="preserve">trial-to-trial </w:t>
      </w:r>
      <w:r w:rsidR="00025F10" w:rsidRPr="005141FF">
        <w:t xml:space="preserve">drift rate variability in decision-making. </w:t>
      </w:r>
      <w:r w:rsidR="00025F10">
        <w:t>The second model is</w:t>
      </w:r>
      <w:r w:rsidR="00025F10" w:rsidRPr="005141FF">
        <w:t xml:space="preserve"> a threshold diffusion model can be constructed with two processes for decision making in information-driven and guessing states, in which the former has a positive drift rate and the latter has a </w:t>
      </w:r>
      <w:proofErr w:type="gramStart"/>
      <w:r w:rsidR="00025F10" w:rsidRPr="005141FF">
        <w:t>zero drift</w:t>
      </w:r>
      <w:proofErr w:type="gramEnd"/>
      <w:r w:rsidR="00025F10" w:rsidRPr="005141FF">
        <w:t xml:space="preserve"> rate.</w:t>
      </w:r>
      <w:r w:rsidR="00025F10">
        <w:t xml:space="preserve"> </w:t>
      </w:r>
      <w:r w:rsidR="00025F10">
        <w:t>The third model is</w:t>
      </w:r>
      <w:r w:rsidR="00025F10" w:rsidRPr="005141FF">
        <w:t xml:space="preserve"> a combination of the first two alternatives may be considered, with a mix</w:t>
      </w:r>
      <w:r w:rsidR="00025F10">
        <w:t>ture</w:t>
      </w:r>
      <w:r w:rsidR="00025F10" w:rsidRPr="005141FF">
        <w:t xml:space="preserve"> of two processes as well as </w:t>
      </w:r>
      <w:r w:rsidR="00025F10">
        <w:t>drift rate variability.</w:t>
      </w:r>
      <w:r w:rsidR="00025F10" w:rsidRPr="005141FF">
        <w:t xml:space="preserve"> </w:t>
      </w:r>
      <w:r w:rsidR="00025F10">
        <w:t xml:space="preserve">The supplementary material attached to this paper demonstrates that the third alternative performs similarly to the threshold model, with the additional model </w:t>
      </w:r>
      <w:r w:rsidR="00025F10">
        <w:lastRenderedPageBreak/>
        <w:t xml:space="preserve">complexity resulting in little to no improvement in fit. For </w:t>
      </w:r>
      <w:r w:rsidR="006011DD">
        <w:t>conciseness in this paper, only the continuous and threshold variants of the circular diffusion model will be compared.</w:t>
      </w:r>
    </w:p>
    <w:p w14:paraId="0278A282" w14:textId="25E75971" w:rsidR="006011DD" w:rsidRDefault="006011DD" w:rsidP="00F306DA">
      <w:pPr>
        <w:pStyle w:val="Heading3"/>
      </w:pPr>
      <w:proofErr w:type="spellStart"/>
      <w:r>
        <w:t>Generalised</w:t>
      </w:r>
      <w:proofErr w:type="spellEnd"/>
      <w:r>
        <w:t xml:space="preserve"> von Mises </w:t>
      </w:r>
    </w:p>
    <w:p w14:paraId="375F0025" w14:textId="529558D7" w:rsidR="00BD0526" w:rsidRDefault="00BD0526" w:rsidP="00BD0526"/>
    <w:p w14:paraId="467E224C" w14:textId="68D1BFD8" w:rsidR="00BD0526" w:rsidRDefault="00BD0526" w:rsidP="00BD0526">
      <w:pPr>
        <w:rPr>
          <w:color w:val="FF0000"/>
        </w:rPr>
      </w:pPr>
      <w:r>
        <w:rPr>
          <w:color w:val="FF0000"/>
        </w:rPr>
        <w:t xml:space="preserve">Introduce parameters, how </w:t>
      </w:r>
      <w:proofErr w:type="spellStart"/>
      <w:r>
        <w:rPr>
          <w:color w:val="FF0000"/>
        </w:rPr>
        <w:t>its</w:t>
      </w:r>
      <w:proofErr w:type="spellEnd"/>
      <w:r>
        <w:rPr>
          <w:color w:val="FF0000"/>
        </w:rPr>
        <w:t xml:space="preserve"> </w:t>
      </w:r>
      <w:proofErr w:type="spellStart"/>
      <w:r>
        <w:rPr>
          <w:color w:val="FF0000"/>
        </w:rPr>
        <w:t>gonna</w:t>
      </w:r>
      <w:proofErr w:type="spellEnd"/>
      <w:r>
        <w:rPr>
          <w:color w:val="FF0000"/>
        </w:rPr>
        <w:t xml:space="preserve"> be diagnostic</w:t>
      </w:r>
    </w:p>
    <w:p w14:paraId="51B9B59B" w14:textId="5C78E9FA" w:rsidR="00BD0526" w:rsidRDefault="00BD0526" w:rsidP="00BD0526">
      <w:pPr>
        <w:rPr>
          <w:color w:val="FF0000"/>
        </w:rPr>
      </w:pPr>
    </w:p>
    <w:p w14:paraId="25B50087" w14:textId="76B2EFA0" w:rsidR="00BD0526" w:rsidRPr="00BD0526" w:rsidRDefault="00BD0526" w:rsidP="00BD0526">
      <w:pPr>
        <w:rPr>
          <w:color w:val="FF0000"/>
        </w:rPr>
      </w:pPr>
      <w:proofErr w:type="spellStart"/>
      <w:r>
        <w:rPr>
          <w:color w:val="FF0000"/>
        </w:rPr>
        <w:t>Unrecognised</w:t>
      </w:r>
      <w:proofErr w:type="spellEnd"/>
      <w:r>
        <w:rPr>
          <w:color w:val="FF0000"/>
        </w:rPr>
        <w:t xml:space="preserve"> items did not appear to have source memory. Do a Rayleigh test on the </w:t>
      </w:r>
      <w:proofErr w:type="spellStart"/>
      <w:r>
        <w:rPr>
          <w:color w:val="FF0000"/>
        </w:rPr>
        <w:t>unrecognised</w:t>
      </w:r>
      <w:proofErr w:type="spellEnd"/>
      <w:r>
        <w:rPr>
          <w:color w:val="FF0000"/>
        </w:rPr>
        <w:t xml:space="preserve"> </w:t>
      </w:r>
      <w:proofErr w:type="gramStart"/>
      <w:r>
        <w:rPr>
          <w:color w:val="FF0000"/>
        </w:rPr>
        <w:t>set.</w:t>
      </w:r>
      <w:proofErr w:type="gramEnd"/>
      <w:r>
        <w:rPr>
          <w:color w:val="FF0000"/>
        </w:rPr>
        <w:t xml:space="preserve"> Even with those excluded, it looked like there was a high tail. </w:t>
      </w:r>
    </w:p>
    <w:p w14:paraId="58B2DAF4" w14:textId="60869549" w:rsidR="002E4567" w:rsidRPr="002E4567" w:rsidRDefault="002E4567" w:rsidP="002E4567">
      <w:r>
        <w:tab/>
      </w:r>
    </w:p>
    <w:p w14:paraId="64FAC109" w14:textId="77777777" w:rsidR="0062102E" w:rsidRDefault="00A54FD8">
      <w:pPr>
        <w:pStyle w:val="Heading1"/>
        <w:jc w:val="center"/>
        <w:rPr>
          <w:b/>
          <w:sz w:val="24"/>
          <w:szCs w:val="24"/>
        </w:rPr>
      </w:pPr>
      <w:bookmarkStart w:id="16" w:name="_6yonmixfqux3" w:colFirst="0" w:colLast="0"/>
      <w:bookmarkEnd w:id="16"/>
      <w:r>
        <w:rPr>
          <w:b/>
          <w:sz w:val="24"/>
          <w:szCs w:val="24"/>
        </w:rPr>
        <w:t>Method</w:t>
      </w:r>
    </w:p>
    <w:p w14:paraId="02CC5535" w14:textId="77777777" w:rsidR="0062102E" w:rsidRDefault="00A54FD8">
      <w:pPr>
        <w:pStyle w:val="Heading2"/>
        <w:spacing w:before="400" w:after="120"/>
      </w:pPr>
      <w:bookmarkStart w:id="17" w:name="_qpoxxwcegj5r" w:colFirst="0" w:colLast="0"/>
      <w:bookmarkEnd w:id="17"/>
      <w:r>
        <w:t>Stimuli and apparatus</w:t>
      </w:r>
    </w:p>
    <w:p w14:paraId="73ED8B0C" w14:textId="7D5DE89A" w:rsidR="0062102E" w:rsidRDefault="00A54FD8">
      <w:r>
        <w:t xml:space="preserve">        </w:t>
      </w:r>
      <w:r>
        <w:tab/>
        <w:t>Stimuli were presented on a 20’’ Dell 2009W LDC Monitor, set with a</w:t>
      </w:r>
      <w:r>
        <w:t xml:space="preserve"> screen refresh rate of 60 Hz. Software written in MATLAB controlled stimulus presentation and recorded responses. Stimuli consisted of words generated from the MRC Psycholinguistic Database, selected/ for low concreteness (minimum </w:t>
      </w:r>
      <w:r w:rsidR="003C47A5">
        <w:t>100</w:t>
      </w:r>
      <w:r>
        <w:t>, maximum 456) and imag</w:t>
      </w:r>
      <w:r>
        <w:t xml:space="preserve">eability (minimum </w:t>
      </w:r>
      <w:r w:rsidR="003C47A5">
        <w:t>100</w:t>
      </w:r>
      <w:r>
        <w:t xml:space="preserve">, maximum 481) in </w:t>
      </w:r>
      <w:r>
        <w:t>the low</w:t>
      </w:r>
      <w:r>
        <w:t xml:space="preserve"> stimulus set</w:t>
      </w:r>
      <w:r>
        <w:t xml:space="preserve">, </w:t>
      </w:r>
      <w:r>
        <w:t xml:space="preserve">and high concreteness </w:t>
      </w:r>
      <w:r w:rsidR="003C47A5">
        <w:t xml:space="preserve">(minimum </w:t>
      </w:r>
      <w:r w:rsidR="00701FDB">
        <w:t>543</w:t>
      </w:r>
      <w:r w:rsidR="003C47A5">
        <w:t xml:space="preserve">, maximum </w:t>
      </w:r>
      <w:r w:rsidR="00701FDB">
        <w:t>611</w:t>
      </w:r>
      <w:r w:rsidR="003C47A5">
        <w:t xml:space="preserve">) </w:t>
      </w:r>
      <w:r>
        <w:t>and high imageability</w:t>
      </w:r>
      <w:r w:rsidR="003C47A5">
        <w:t xml:space="preserve"> </w:t>
      </w:r>
      <w:r w:rsidR="003C47A5">
        <w:t xml:space="preserve">(minimum </w:t>
      </w:r>
      <w:r w:rsidR="00701FDB">
        <w:t>545</w:t>
      </w:r>
      <w:r w:rsidR="003C47A5">
        <w:t xml:space="preserve">, maximum </w:t>
      </w:r>
      <w:r w:rsidR="00701FDB">
        <w:t>609</w:t>
      </w:r>
      <w:r w:rsidR="003C47A5">
        <w:t>)</w:t>
      </w:r>
      <w:r>
        <w:t xml:space="preserve"> in the high stimulus set</w:t>
      </w:r>
      <w:r>
        <w:t xml:space="preserve">. Words were displayed in size 24 point “Courier New” white font positioned in the </w:t>
      </w:r>
      <w:proofErr w:type="spellStart"/>
      <w:r>
        <w:t>centre</w:t>
      </w:r>
      <w:proofErr w:type="spellEnd"/>
      <w:r>
        <w:t xml:space="preserve"> of a uniform mean luminance field.</w:t>
      </w:r>
    </w:p>
    <w:p w14:paraId="7AFC3F6C" w14:textId="77777777" w:rsidR="0062102E" w:rsidRDefault="00A54FD8">
      <w:pPr>
        <w:pStyle w:val="Heading2"/>
        <w:spacing w:before="400" w:after="120"/>
      </w:pPr>
      <w:bookmarkStart w:id="18" w:name="_7sja72xtd8q5" w:colFirst="0" w:colLast="0"/>
      <w:bookmarkEnd w:id="18"/>
      <w:r>
        <w:lastRenderedPageBreak/>
        <w:t>Part</w:t>
      </w:r>
      <w:r>
        <w:t>icipants</w:t>
      </w:r>
    </w:p>
    <w:p w14:paraId="3A1A10F0" w14:textId="77777777" w:rsidR="0062102E" w:rsidRDefault="00A54FD8">
      <w:r>
        <w:t xml:space="preserve">        </w:t>
      </w:r>
      <w:r>
        <w:tab/>
        <w:t xml:space="preserve">Twenty participants were recruited online through the University of Melbourne SONA system. Each participant was expected to complete four 60-minute sessions, for which they were paid $12 at the completion of each session. One participant </w:t>
      </w:r>
      <w:r>
        <w:t>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508A706" w14:textId="77777777" w:rsidR="0062102E" w:rsidRDefault="00A54FD8">
      <w:pPr>
        <w:pStyle w:val="Heading2"/>
        <w:spacing w:before="400" w:after="120"/>
      </w:pPr>
      <w:bookmarkStart w:id="19" w:name="_91k2utuesuxi" w:colFirst="0" w:colLast="0"/>
      <w:bookmarkEnd w:id="19"/>
      <w:r>
        <w:t>Design</w:t>
      </w:r>
    </w:p>
    <w:p w14:paraId="07FC50DF" w14:textId="771902F0" w:rsidR="0062102E" w:rsidRDefault="00A54FD8">
      <w:r>
        <w:t xml:space="preserve">        </w:t>
      </w:r>
      <w:r>
        <w:tab/>
        <w:t>Participants completed the expe</w:t>
      </w:r>
      <w:r>
        <w:t xml:space="preserv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w:t>
      </w:r>
      <w:r w:rsidR="003C47A5">
        <w:t>X</w:t>
      </w:r>
      <w:r>
        <w:t xml:space="preserve">). </w:t>
      </w:r>
    </w:p>
    <w:p w14:paraId="75B73D9F" w14:textId="260161DF" w:rsidR="0062102E" w:rsidRDefault="00A54FD8">
      <w:pPr>
        <w:ind w:firstLine="720"/>
      </w:pPr>
      <w:r>
        <w:t>In the study phase, participants were p</w:t>
      </w:r>
      <w:r>
        <w:t xml:space="preserve">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w:t>
      </w:r>
      <w:r>
        <w:t>the former location of the cross on a now-blank circle using a computer mouse. Responses made within 6 degrees of the true target location were classified as a successful verification of attention and advanced participants to the next item. Responses furth</w:t>
      </w:r>
      <w:r>
        <w:t xml:space="preserve">er away were deemed unsuccessful, and the words “TRY AGAIN” was displayed for 1000 </w:t>
      </w:r>
      <w:proofErr w:type="spellStart"/>
      <w:r>
        <w:t>ms</w:t>
      </w:r>
      <w:proofErr w:type="spellEnd"/>
      <w:r>
        <w:t>, the location was then re-presented for 250ms, and the verification task was repeated.  Participants were then instructed to complete a distractor task, which involved 30</w:t>
      </w:r>
      <w:r>
        <w:t xml:space="preserve">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w:t>
      </w:r>
      <w:r>
        <w:t xml:space="preserve">ipants were cued with the words for 1500 </w:t>
      </w:r>
      <w:proofErr w:type="spellStart"/>
      <w:r>
        <w:t>ms</w:t>
      </w:r>
      <w:proofErr w:type="spellEnd"/>
      <w:r>
        <w:t xml:space="preserve">, and then indicated the </w:t>
      </w:r>
      <w:r>
        <w:lastRenderedPageBreak/>
        <w:t xml:space="preserve">recalled location by a clicking a mouse on the circumference of a grey response circle. There was no time limit on the decision task. </w:t>
      </w:r>
      <w:r w:rsidR="003C47A5">
        <w:t>A schematic for one trial in each of the phases is shown in Figure X.</w:t>
      </w:r>
    </w:p>
    <w:p w14:paraId="11C3E8F6" w14:textId="77777777" w:rsidR="0062102E" w:rsidRDefault="00A54FD8">
      <w:r>
        <w:rPr>
          <w:noProof/>
        </w:rPr>
        <w:drawing>
          <wp:inline distT="114300" distB="114300" distL="114300" distR="114300" wp14:anchorId="605A9F06" wp14:editId="0F93A411">
            <wp:extent cx="5943600" cy="176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65300"/>
                    </a:xfrm>
                    <a:prstGeom prst="rect">
                      <a:avLst/>
                    </a:prstGeom>
                    <a:ln/>
                  </pic:spPr>
                </pic:pic>
              </a:graphicData>
            </a:graphic>
          </wp:inline>
        </w:drawing>
      </w:r>
    </w:p>
    <w:p w14:paraId="23CCE3EF" w14:textId="77777777" w:rsidR="0062102E" w:rsidRDefault="00A54FD8">
      <w:pPr>
        <w:pStyle w:val="Heading1"/>
        <w:ind w:firstLine="720"/>
        <w:jc w:val="center"/>
        <w:rPr>
          <w:b/>
          <w:sz w:val="24"/>
          <w:szCs w:val="24"/>
        </w:rPr>
      </w:pPr>
      <w:bookmarkStart w:id="20" w:name="_9e5grs44izet" w:colFirst="0" w:colLast="0"/>
      <w:bookmarkEnd w:id="20"/>
      <w:r>
        <w:rPr>
          <w:b/>
          <w:sz w:val="24"/>
          <w:szCs w:val="24"/>
        </w:rPr>
        <w:t>Results</w:t>
      </w:r>
    </w:p>
    <w:p w14:paraId="06511501" w14:textId="77777777" w:rsidR="0062102E" w:rsidRDefault="00A54FD8">
      <w:pPr>
        <w:rPr>
          <w:b/>
        </w:rPr>
      </w:pPr>
      <w:r>
        <w:rPr>
          <w:b/>
        </w:rPr>
        <w:t>Data Screening</w:t>
      </w:r>
    </w:p>
    <w:p w14:paraId="6F9F7E48" w14:textId="77777777" w:rsidR="0062102E" w:rsidRDefault="00A54FD8">
      <w:r>
        <w:tab/>
      </w:r>
      <w:r>
        <w:t>Preliminary inspection of the data suggested that a proportion of the participants were performing the task with very low accuracy. A Rayleigh test for uniformity identified</w:t>
      </w:r>
      <w:r>
        <w:rPr>
          <w:color w:val="FF0000"/>
        </w:rPr>
        <w:t xml:space="preserve"> two </w:t>
      </w:r>
      <w:r>
        <w:t>participants whose data did not indicate evidence for a departure from uniform</w:t>
      </w:r>
      <w:r>
        <w:t>ity in at least one condition, interpretable as completely random responding (</w:t>
      </w:r>
      <w:r>
        <w:rPr>
          <w:color w:val="FF0000"/>
        </w:rPr>
        <w:t>Table X;</w:t>
      </w:r>
      <w:r>
        <w:t xml:space="preserve"> Fisher, 1993).</w:t>
      </w:r>
      <w:r w:rsidR="00DB09D5">
        <w:t xml:space="preserve"> These participants will be referred to as a </w:t>
      </w:r>
      <w:r w:rsidR="00DB09D5" w:rsidRPr="005141FF">
        <w:rPr>
          <w:i/>
        </w:rPr>
        <w:t xml:space="preserve">low response </w:t>
      </w:r>
      <w:r w:rsidR="00DB09D5">
        <w:rPr>
          <w:i/>
        </w:rPr>
        <w:t xml:space="preserve">accuracy </w:t>
      </w:r>
      <w:r w:rsidR="00DB09D5">
        <w:t>subgroup</w:t>
      </w:r>
      <w:r w:rsidR="00DB09D5" w:rsidRPr="005141FF">
        <w:t xml:space="preserve">, with the expectation that the data </w:t>
      </w:r>
      <w:r w:rsidR="00DB09D5">
        <w:t xml:space="preserve">from the remaining </w:t>
      </w:r>
      <w:r w:rsidR="00DB09D5">
        <w:rPr>
          <w:i/>
        </w:rPr>
        <w:t xml:space="preserve">high response accuracy </w:t>
      </w:r>
      <w:r w:rsidR="00DB09D5">
        <w:t xml:space="preserve">group </w:t>
      </w:r>
      <w:r w:rsidR="00DB09D5" w:rsidRPr="005141FF">
        <w:t>will be more diagnostic for the purposes of distinguishing between the models.</w:t>
      </w:r>
    </w:p>
    <w:tbl>
      <w:tblPr>
        <w:tblStyle w:val="a"/>
        <w:tblW w:w="89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18"/>
        <w:gridCol w:w="2973"/>
        <w:gridCol w:w="2929"/>
      </w:tblGrid>
      <w:tr w:rsidR="0062102E" w14:paraId="072E0321" w14:textId="77777777" w:rsidTr="00DB09D5">
        <w:trPr>
          <w:cantSplit/>
          <w:trHeight w:val="144"/>
        </w:trPr>
        <w:tc>
          <w:tcPr>
            <w:tcW w:w="8920" w:type="dxa"/>
            <w:gridSpan w:val="3"/>
            <w:tcBorders>
              <w:top w:val="nil"/>
              <w:left w:val="nil"/>
              <w:bottom w:val="single" w:sz="8" w:space="0" w:color="000000"/>
              <w:right w:val="nil"/>
            </w:tcBorders>
            <w:tcMar>
              <w:top w:w="100" w:type="dxa"/>
              <w:left w:w="100" w:type="dxa"/>
              <w:bottom w:w="100" w:type="dxa"/>
              <w:right w:w="100" w:type="dxa"/>
            </w:tcMar>
          </w:tcPr>
          <w:p w14:paraId="54BC95D4" w14:textId="77777777" w:rsidR="0062102E" w:rsidRDefault="00A54FD8">
            <w:pPr>
              <w:spacing w:line="240" w:lineRule="auto"/>
            </w:pPr>
            <w:r>
              <w:t>Table X</w:t>
            </w:r>
          </w:p>
          <w:p w14:paraId="61CCC1A7" w14:textId="77777777" w:rsidR="0062102E" w:rsidRDefault="00A54FD8">
            <w:pPr>
              <w:spacing w:line="240" w:lineRule="auto"/>
            </w:pPr>
            <w:r>
              <w:t>Rayleigh Test for Uniformity</w:t>
            </w:r>
          </w:p>
        </w:tc>
      </w:tr>
      <w:tr w:rsidR="0062102E" w14:paraId="103EAC82" w14:textId="77777777" w:rsidTr="00DB09D5">
        <w:trPr>
          <w:cantSplit/>
          <w:trHeight w:val="144"/>
        </w:trPr>
        <w:tc>
          <w:tcPr>
            <w:tcW w:w="3018" w:type="dxa"/>
            <w:tcBorders>
              <w:top w:val="nil"/>
              <w:left w:val="nil"/>
              <w:bottom w:val="single" w:sz="8" w:space="0" w:color="000000"/>
              <w:right w:val="nil"/>
            </w:tcBorders>
            <w:shd w:val="clear" w:color="auto" w:fill="auto"/>
            <w:tcMar>
              <w:top w:w="100" w:type="dxa"/>
              <w:left w:w="100" w:type="dxa"/>
              <w:bottom w:w="100" w:type="dxa"/>
              <w:right w:w="100" w:type="dxa"/>
            </w:tcMar>
          </w:tcPr>
          <w:p w14:paraId="0B3ACC34" w14:textId="77777777" w:rsidR="0062102E" w:rsidRDefault="00A54FD8">
            <w:pPr>
              <w:spacing w:line="240" w:lineRule="auto"/>
              <w:jc w:val="center"/>
            </w:pPr>
            <w:r>
              <w:t>Participant</w:t>
            </w:r>
          </w:p>
        </w:tc>
        <w:tc>
          <w:tcPr>
            <w:tcW w:w="2973" w:type="dxa"/>
            <w:tcBorders>
              <w:top w:val="nil"/>
              <w:left w:val="nil"/>
              <w:bottom w:val="single" w:sz="8" w:space="0" w:color="000000"/>
              <w:right w:val="nil"/>
            </w:tcBorders>
            <w:shd w:val="clear" w:color="auto" w:fill="auto"/>
            <w:tcMar>
              <w:top w:w="100" w:type="dxa"/>
              <w:left w:w="100" w:type="dxa"/>
              <w:bottom w:w="100" w:type="dxa"/>
              <w:right w:w="100" w:type="dxa"/>
            </w:tcMar>
          </w:tcPr>
          <w:p w14:paraId="69B897BE" w14:textId="77777777" w:rsidR="0062102E" w:rsidRDefault="00A54FD8">
            <w:pPr>
              <w:spacing w:line="240" w:lineRule="auto"/>
              <w:jc w:val="center"/>
              <w:rPr>
                <w:i/>
              </w:rPr>
            </w:pPr>
            <w:r>
              <w:rPr>
                <w:i/>
              </w:rPr>
              <w:t>χ2</w:t>
            </w:r>
          </w:p>
        </w:tc>
        <w:tc>
          <w:tcPr>
            <w:tcW w:w="2928" w:type="dxa"/>
            <w:tcBorders>
              <w:top w:val="nil"/>
              <w:left w:val="nil"/>
              <w:bottom w:val="single" w:sz="8" w:space="0" w:color="000000"/>
              <w:right w:val="nil"/>
            </w:tcBorders>
            <w:shd w:val="clear" w:color="auto" w:fill="auto"/>
            <w:tcMar>
              <w:top w:w="100" w:type="dxa"/>
              <w:left w:w="100" w:type="dxa"/>
              <w:bottom w:w="100" w:type="dxa"/>
              <w:right w:w="100" w:type="dxa"/>
            </w:tcMar>
          </w:tcPr>
          <w:p w14:paraId="69A23E58" w14:textId="77777777" w:rsidR="0062102E" w:rsidRDefault="00A54FD8">
            <w:pPr>
              <w:spacing w:line="240" w:lineRule="auto"/>
              <w:jc w:val="center"/>
              <w:rPr>
                <w:i/>
              </w:rPr>
            </w:pPr>
            <w:r>
              <w:rPr>
                <w:i/>
              </w:rPr>
              <w:t>p</w:t>
            </w:r>
          </w:p>
        </w:tc>
      </w:tr>
      <w:tr w:rsidR="0062102E" w14:paraId="43463605"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4F6CB857" w14:textId="77777777" w:rsidR="0062102E" w:rsidRDefault="00A54FD8">
            <w:pPr>
              <w:spacing w:line="240" w:lineRule="auto"/>
              <w:jc w:val="center"/>
            </w:pPr>
            <w:r>
              <w:t>1</w:t>
            </w:r>
          </w:p>
        </w:tc>
        <w:tc>
          <w:tcPr>
            <w:tcW w:w="2973" w:type="dxa"/>
            <w:tcBorders>
              <w:top w:val="nil"/>
              <w:left w:val="nil"/>
              <w:bottom w:val="nil"/>
              <w:right w:val="nil"/>
            </w:tcBorders>
            <w:shd w:val="clear" w:color="auto" w:fill="auto"/>
            <w:tcMar>
              <w:top w:w="100" w:type="dxa"/>
              <w:left w:w="100" w:type="dxa"/>
              <w:bottom w:w="100" w:type="dxa"/>
              <w:right w:w="100" w:type="dxa"/>
            </w:tcMar>
          </w:tcPr>
          <w:p w14:paraId="18E8B587" w14:textId="77777777" w:rsidR="0062102E" w:rsidRDefault="00A54FD8">
            <w:pPr>
              <w:spacing w:line="240" w:lineRule="auto"/>
              <w:jc w:val="center"/>
            </w:pPr>
            <w:r>
              <w:t>0.60</w:t>
            </w:r>
          </w:p>
        </w:tc>
        <w:tc>
          <w:tcPr>
            <w:tcW w:w="2928" w:type="dxa"/>
            <w:tcBorders>
              <w:top w:val="nil"/>
              <w:left w:val="nil"/>
              <w:bottom w:val="nil"/>
              <w:right w:val="nil"/>
            </w:tcBorders>
            <w:shd w:val="clear" w:color="auto" w:fill="auto"/>
            <w:tcMar>
              <w:top w:w="100" w:type="dxa"/>
              <w:left w:w="100" w:type="dxa"/>
              <w:bottom w:w="100" w:type="dxa"/>
              <w:right w:w="100" w:type="dxa"/>
            </w:tcMar>
          </w:tcPr>
          <w:p w14:paraId="3288C04E" w14:textId="77777777" w:rsidR="0062102E" w:rsidRDefault="00A54FD8">
            <w:pPr>
              <w:spacing w:line="240" w:lineRule="auto"/>
              <w:jc w:val="center"/>
            </w:pPr>
            <w:r>
              <w:t>0.74*</w:t>
            </w:r>
          </w:p>
        </w:tc>
      </w:tr>
      <w:tr w:rsidR="0062102E" w14:paraId="71ACAA2C"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779334CE" w14:textId="77777777" w:rsidR="0062102E" w:rsidRDefault="00A54FD8">
            <w:pPr>
              <w:spacing w:line="240" w:lineRule="auto"/>
              <w:jc w:val="center"/>
            </w:pPr>
            <w:r>
              <w:t>2</w:t>
            </w:r>
          </w:p>
        </w:tc>
        <w:tc>
          <w:tcPr>
            <w:tcW w:w="2973" w:type="dxa"/>
            <w:tcBorders>
              <w:top w:val="nil"/>
              <w:left w:val="nil"/>
              <w:bottom w:val="nil"/>
              <w:right w:val="nil"/>
            </w:tcBorders>
            <w:shd w:val="clear" w:color="auto" w:fill="auto"/>
            <w:tcMar>
              <w:top w:w="100" w:type="dxa"/>
              <w:left w:w="100" w:type="dxa"/>
              <w:bottom w:w="100" w:type="dxa"/>
              <w:right w:w="100" w:type="dxa"/>
            </w:tcMar>
          </w:tcPr>
          <w:p w14:paraId="655DBE9E" w14:textId="77777777" w:rsidR="0062102E" w:rsidRDefault="00A54FD8">
            <w:pPr>
              <w:spacing w:line="240" w:lineRule="auto"/>
              <w:jc w:val="center"/>
            </w:pPr>
            <w:r>
              <w:t>258.00</w:t>
            </w:r>
          </w:p>
        </w:tc>
        <w:tc>
          <w:tcPr>
            <w:tcW w:w="2928" w:type="dxa"/>
            <w:tcBorders>
              <w:top w:val="nil"/>
              <w:left w:val="nil"/>
              <w:bottom w:val="nil"/>
              <w:right w:val="nil"/>
            </w:tcBorders>
            <w:shd w:val="clear" w:color="auto" w:fill="auto"/>
            <w:tcMar>
              <w:top w:w="100" w:type="dxa"/>
              <w:left w:w="100" w:type="dxa"/>
              <w:bottom w:w="100" w:type="dxa"/>
              <w:right w:w="100" w:type="dxa"/>
            </w:tcMar>
          </w:tcPr>
          <w:p w14:paraId="58668FEF" w14:textId="77777777" w:rsidR="0062102E" w:rsidRDefault="00A54FD8">
            <w:pPr>
              <w:spacing w:line="240" w:lineRule="auto"/>
              <w:jc w:val="center"/>
            </w:pPr>
            <w:r>
              <w:t>&lt;.01</w:t>
            </w:r>
          </w:p>
        </w:tc>
      </w:tr>
      <w:tr w:rsidR="0062102E" w14:paraId="1D235501"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08095ED6" w14:textId="77777777" w:rsidR="0062102E" w:rsidRDefault="00A54FD8">
            <w:pPr>
              <w:spacing w:line="240" w:lineRule="auto"/>
              <w:jc w:val="center"/>
            </w:pPr>
            <w:r>
              <w:t>3</w:t>
            </w:r>
          </w:p>
        </w:tc>
        <w:tc>
          <w:tcPr>
            <w:tcW w:w="2973" w:type="dxa"/>
            <w:tcBorders>
              <w:top w:val="nil"/>
              <w:left w:val="nil"/>
              <w:bottom w:val="nil"/>
              <w:right w:val="nil"/>
            </w:tcBorders>
            <w:shd w:val="clear" w:color="auto" w:fill="auto"/>
            <w:tcMar>
              <w:top w:w="100" w:type="dxa"/>
              <w:left w:w="100" w:type="dxa"/>
              <w:bottom w:w="100" w:type="dxa"/>
              <w:right w:w="100" w:type="dxa"/>
            </w:tcMar>
          </w:tcPr>
          <w:p w14:paraId="6A87ED2A" w14:textId="77777777" w:rsidR="0062102E" w:rsidRDefault="00A54FD8">
            <w:pPr>
              <w:spacing w:line="240" w:lineRule="auto"/>
              <w:jc w:val="center"/>
            </w:pPr>
            <w:r>
              <w:t>86.76</w:t>
            </w:r>
          </w:p>
        </w:tc>
        <w:tc>
          <w:tcPr>
            <w:tcW w:w="2928" w:type="dxa"/>
            <w:tcBorders>
              <w:top w:val="nil"/>
              <w:left w:val="nil"/>
              <w:bottom w:val="nil"/>
              <w:right w:val="nil"/>
            </w:tcBorders>
            <w:shd w:val="clear" w:color="auto" w:fill="auto"/>
            <w:tcMar>
              <w:top w:w="100" w:type="dxa"/>
              <w:left w:w="100" w:type="dxa"/>
              <w:bottom w:w="100" w:type="dxa"/>
              <w:right w:w="100" w:type="dxa"/>
            </w:tcMar>
          </w:tcPr>
          <w:p w14:paraId="7BA251A6" w14:textId="77777777" w:rsidR="0062102E" w:rsidRDefault="00A54FD8">
            <w:pPr>
              <w:spacing w:line="240" w:lineRule="auto"/>
              <w:jc w:val="center"/>
            </w:pPr>
            <w:r>
              <w:t>&lt;.01</w:t>
            </w:r>
          </w:p>
        </w:tc>
      </w:tr>
      <w:tr w:rsidR="0062102E" w14:paraId="59BC14AC"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6F80B90A" w14:textId="77777777" w:rsidR="0062102E" w:rsidRDefault="00A54FD8">
            <w:pPr>
              <w:spacing w:line="240" w:lineRule="auto"/>
              <w:jc w:val="center"/>
            </w:pPr>
            <w:r>
              <w:lastRenderedPageBreak/>
              <w:t>4</w:t>
            </w:r>
          </w:p>
        </w:tc>
        <w:tc>
          <w:tcPr>
            <w:tcW w:w="2973" w:type="dxa"/>
            <w:tcBorders>
              <w:top w:val="nil"/>
              <w:left w:val="nil"/>
              <w:bottom w:val="nil"/>
              <w:right w:val="nil"/>
            </w:tcBorders>
            <w:shd w:val="clear" w:color="auto" w:fill="auto"/>
            <w:tcMar>
              <w:top w:w="100" w:type="dxa"/>
              <w:left w:w="100" w:type="dxa"/>
              <w:bottom w:w="100" w:type="dxa"/>
              <w:right w:w="100" w:type="dxa"/>
            </w:tcMar>
          </w:tcPr>
          <w:p w14:paraId="38479EE2" w14:textId="77777777" w:rsidR="0062102E" w:rsidRDefault="00A54FD8">
            <w:pPr>
              <w:spacing w:line="240" w:lineRule="auto"/>
              <w:jc w:val="center"/>
            </w:pPr>
            <w:r>
              <w:t>134.83</w:t>
            </w:r>
          </w:p>
        </w:tc>
        <w:tc>
          <w:tcPr>
            <w:tcW w:w="2928" w:type="dxa"/>
            <w:tcBorders>
              <w:top w:val="nil"/>
              <w:left w:val="nil"/>
              <w:bottom w:val="nil"/>
              <w:right w:val="nil"/>
            </w:tcBorders>
            <w:shd w:val="clear" w:color="auto" w:fill="auto"/>
            <w:tcMar>
              <w:top w:w="100" w:type="dxa"/>
              <w:left w:w="100" w:type="dxa"/>
              <w:bottom w:w="100" w:type="dxa"/>
              <w:right w:w="100" w:type="dxa"/>
            </w:tcMar>
          </w:tcPr>
          <w:p w14:paraId="2EA70D75" w14:textId="77777777" w:rsidR="0062102E" w:rsidRDefault="00A54FD8">
            <w:pPr>
              <w:spacing w:line="240" w:lineRule="auto"/>
              <w:jc w:val="center"/>
            </w:pPr>
            <w:r>
              <w:t>&lt;.01</w:t>
            </w:r>
          </w:p>
        </w:tc>
      </w:tr>
      <w:tr w:rsidR="0062102E" w14:paraId="1AFC29C7"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1F71FC27" w14:textId="77777777" w:rsidR="0062102E" w:rsidRDefault="00A54FD8">
            <w:pPr>
              <w:spacing w:line="240" w:lineRule="auto"/>
              <w:jc w:val="center"/>
            </w:pPr>
            <w:r>
              <w:t>5</w:t>
            </w:r>
          </w:p>
        </w:tc>
        <w:tc>
          <w:tcPr>
            <w:tcW w:w="2973" w:type="dxa"/>
            <w:tcBorders>
              <w:top w:val="nil"/>
              <w:left w:val="nil"/>
              <w:bottom w:val="nil"/>
              <w:right w:val="nil"/>
            </w:tcBorders>
            <w:shd w:val="clear" w:color="auto" w:fill="auto"/>
            <w:tcMar>
              <w:top w:w="100" w:type="dxa"/>
              <w:left w:w="100" w:type="dxa"/>
              <w:bottom w:w="100" w:type="dxa"/>
              <w:right w:w="100" w:type="dxa"/>
            </w:tcMar>
          </w:tcPr>
          <w:p w14:paraId="72E32CB2" w14:textId="77777777" w:rsidR="0062102E" w:rsidRDefault="00A54FD8">
            <w:pPr>
              <w:spacing w:line="240" w:lineRule="auto"/>
              <w:jc w:val="center"/>
            </w:pPr>
            <w:r>
              <w:t>133.01</w:t>
            </w:r>
          </w:p>
        </w:tc>
        <w:tc>
          <w:tcPr>
            <w:tcW w:w="2928" w:type="dxa"/>
            <w:tcBorders>
              <w:top w:val="nil"/>
              <w:left w:val="nil"/>
              <w:bottom w:val="nil"/>
              <w:right w:val="nil"/>
            </w:tcBorders>
            <w:shd w:val="clear" w:color="auto" w:fill="auto"/>
            <w:tcMar>
              <w:top w:w="100" w:type="dxa"/>
              <w:left w:w="100" w:type="dxa"/>
              <w:bottom w:w="100" w:type="dxa"/>
              <w:right w:w="100" w:type="dxa"/>
            </w:tcMar>
          </w:tcPr>
          <w:p w14:paraId="1036A247" w14:textId="77777777" w:rsidR="0062102E" w:rsidRDefault="00A54FD8">
            <w:pPr>
              <w:spacing w:line="240" w:lineRule="auto"/>
              <w:jc w:val="center"/>
            </w:pPr>
            <w:r>
              <w:t>&lt;.01</w:t>
            </w:r>
          </w:p>
        </w:tc>
      </w:tr>
      <w:tr w:rsidR="0062102E" w14:paraId="4C572A21"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56DB82AB" w14:textId="77777777" w:rsidR="0062102E" w:rsidRDefault="00A54FD8">
            <w:pPr>
              <w:spacing w:line="240" w:lineRule="auto"/>
              <w:jc w:val="center"/>
            </w:pPr>
            <w:r>
              <w:t>6</w:t>
            </w:r>
          </w:p>
        </w:tc>
        <w:tc>
          <w:tcPr>
            <w:tcW w:w="2973" w:type="dxa"/>
            <w:tcBorders>
              <w:top w:val="nil"/>
              <w:left w:val="nil"/>
              <w:bottom w:val="nil"/>
              <w:right w:val="nil"/>
            </w:tcBorders>
            <w:shd w:val="clear" w:color="auto" w:fill="auto"/>
            <w:tcMar>
              <w:top w:w="100" w:type="dxa"/>
              <w:left w:w="100" w:type="dxa"/>
              <w:bottom w:w="100" w:type="dxa"/>
              <w:right w:w="100" w:type="dxa"/>
            </w:tcMar>
          </w:tcPr>
          <w:p w14:paraId="3E30CFFC" w14:textId="77777777" w:rsidR="0062102E" w:rsidRDefault="00A54FD8">
            <w:pPr>
              <w:spacing w:line="240" w:lineRule="auto"/>
              <w:jc w:val="center"/>
            </w:pPr>
            <w:r>
              <w:t>30.74</w:t>
            </w:r>
          </w:p>
        </w:tc>
        <w:tc>
          <w:tcPr>
            <w:tcW w:w="2928" w:type="dxa"/>
            <w:tcBorders>
              <w:top w:val="nil"/>
              <w:left w:val="nil"/>
              <w:bottom w:val="nil"/>
              <w:right w:val="nil"/>
            </w:tcBorders>
            <w:shd w:val="clear" w:color="auto" w:fill="auto"/>
            <w:tcMar>
              <w:top w:w="100" w:type="dxa"/>
              <w:left w:w="100" w:type="dxa"/>
              <w:bottom w:w="100" w:type="dxa"/>
              <w:right w:w="100" w:type="dxa"/>
            </w:tcMar>
          </w:tcPr>
          <w:p w14:paraId="71A7C5AB" w14:textId="77777777" w:rsidR="0062102E" w:rsidRDefault="00A54FD8">
            <w:pPr>
              <w:spacing w:line="240" w:lineRule="auto"/>
              <w:jc w:val="center"/>
            </w:pPr>
            <w:r>
              <w:t>&lt;.01</w:t>
            </w:r>
          </w:p>
        </w:tc>
      </w:tr>
      <w:tr w:rsidR="0062102E" w14:paraId="2B37853E"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46F81B50" w14:textId="77777777" w:rsidR="0062102E" w:rsidRDefault="00A54FD8">
            <w:pPr>
              <w:spacing w:line="240" w:lineRule="auto"/>
              <w:jc w:val="center"/>
            </w:pPr>
            <w:r>
              <w:t>7</w:t>
            </w:r>
          </w:p>
        </w:tc>
        <w:tc>
          <w:tcPr>
            <w:tcW w:w="2973" w:type="dxa"/>
            <w:tcBorders>
              <w:top w:val="nil"/>
              <w:left w:val="nil"/>
              <w:bottom w:val="nil"/>
              <w:right w:val="nil"/>
            </w:tcBorders>
            <w:shd w:val="clear" w:color="auto" w:fill="auto"/>
            <w:tcMar>
              <w:top w:w="100" w:type="dxa"/>
              <w:left w:w="100" w:type="dxa"/>
              <w:bottom w:w="100" w:type="dxa"/>
              <w:right w:w="100" w:type="dxa"/>
            </w:tcMar>
          </w:tcPr>
          <w:p w14:paraId="373CB869" w14:textId="77777777" w:rsidR="0062102E" w:rsidRDefault="00A54FD8">
            <w:pPr>
              <w:spacing w:line="240" w:lineRule="auto"/>
              <w:jc w:val="center"/>
            </w:pPr>
            <w:r>
              <w:t>208.44</w:t>
            </w:r>
          </w:p>
        </w:tc>
        <w:tc>
          <w:tcPr>
            <w:tcW w:w="2928" w:type="dxa"/>
            <w:tcBorders>
              <w:top w:val="nil"/>
              <w:left w:val="nil"/>
              <w:bottom w:val="nil"/>
              <w:right w:val="nil"/>
            </w:tcBorders>
            <w:shd w:val="clear" w:color="auto" w:fill="auto"/>
            <w:tcMar>
              <w:top w:w="100" w:type="dxa"/>
              <w:left w:w="100" w:type="dxa"/>
              <w:bottom w:w="100" w:type="dxa"/>
              <w:right w:w="100" w:type="dxa"/>
            </w:tcMar>
          </w:tcPr>
          <w:p w14:paraId="2F7B60A6" w14:textId="77777777" w:rsidR="0062102E" w:rsidRDefault="00A54FD8">
            <w:pPr>
              <w:spacing w:line="240" w:lineRule="auto"/>
              <w:jc w:val="center"/>
            </w:pPr>
            <w:r>
              <w:t>&lt;.01</w:t>
            </w:r>
          </w:p>
        </w:tc>
      </w:tr>
      <w:tr w:rsidR="0062102E" w14:paraId="5D9351F4"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0BFF5333" w14:textId="77777777" w:rsidR="0062102E" w:rsidRDefault="00A54FD8">
            <w:pPr>
              <w:spacing w:line="240" w:lineRule="auto"/>
              <w:jc w:val="center"/>
            </w:pPr>
            <w:r>
              <w:t>8</w:t>
            </w:r>
          </w:p>
        </w:tc>
        <w:tc>
          <w:tcPr>
            <w:tcW w:w="2973" w:type="dxa"/>
            <w:tcBorders>
              <w:top w:val="nil"/>
              <w:left w:val="nil"/>
              <w:bottom w:val="nil"/>
              <w:right w:val="nil"/>
            </w:tcBorders>
            <w:shd w:val="clear" w:color="auto" w:fill="auto"/>
            <w:tcMar>
              <w:top w:w="100" w:type="dxa"/>
              <w:left w:w="100" w:type="dxa"/>
              <w:bottom w:w="100" w:type="dxa"/>
              <w:right w:w="100" w:type="dxa"/>
            </w:tcMar>
          </w:tcPr>
          <w:p w14:paraId="5D277D6E" w14:textId="77777777" w:rsidR="0062102E" w:rsidRDefault="00A54FD8">
            <w:pPr>
              <w:spacing w:line="240" w:lineRule="auto"/>
              <w:jc w:val="center"/>
            </w:pPr>
            <w:r>
              <w:t>409.09</w:t>
            </w:r>
          </w:p>
        </w:tc>
        <w:tc>
          <w:tcPr>
            <w:tcW w:w="2928" w:type="dxa"/>
            <w:tcBorders>
              <w:top w:val="nil"/>
              <w:left w:val="nil"/>
              <w:bottom w:val="nil"/>
              <w:right w:val="nil"/>
            </w:tcBorders>
            <w:shd w:val="clear" w:color="auto" w:fill="auto"/>
            <w:tcMar>
              <w:top w:w="100" w:type="dxa"/>
              <w:left w:w="100" w:type="dxa"/>
              <w:bottom w:w="100" w:type="dxa"/>
              <w:right w:w="100" w:type="dxa"/>
            </w:tcMar>
          </w:tcPr>
          <w:p w14:paraId="4F03BDC0" w14:textId="77777777" w:rsidR="0062102E" w:rsidRDefault="00A54FD8">
            <w:pPr>
              <w:spacing w:line="240" w:lineRule="auto"/>
              <w:jc w:val="center"/>
            </w:pPr>
            <w:r>
              <w:t>&lt;.01</w:t>
            </w:r>
          </w:p>
        </w:tc>
      </w:tr>
      <w:tr w:rsidR="0062102E" w14:paraId="0AB63BEB"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77BBEA5C" w14:textId="77777777" w:rsidR="0062102E" w:rsidRDefault="00A54FD8">
            <w:pPr>
              <w:spacing w:line="240" w:lineRule="auto"/>
              <w:jc w:val="center"/>
            </w:pPr>
            <w:r>
              <w:t>9</w:t>
            </w:r>
          </w:p>
        </w:tc>
        <w:tc>
          <w:tcPr>
            <w:tcW w:w="2973" w:type="dxa"/>
            <w:tcBorders>
              <w:top w:val="nil"/>
              <w:left w:val="nil"/>
              <w:bottom w:val="nil"/>
              <w:right w:val="nil"/>
            </w:tcBorders>
            <w:shd w:val="clear" w:color="auto" w:fill="auto"/>
            <w:tcMar>
              <w:top w:w="100" w:type="dxa"/>
              <w:left w:w="100" w:type="dxa"/>
              <w:bottom w:w="100" w:type="dxa"/>
              <w:right w:w="100" w:type="dxa"/>
            </w:tcMar>
          </w:tcPr>
          <w:p w14:paraId="7F1ABAC3" w14:textId="77777777" w:rsidR="0062102E" w:rsidRDefault="00A54FD8">
            <w:pPr>
              <w:spacing w:line="240" w:lineRule="auto"/>
              <w:jc w:val="center"/>
            </w:pPr>
            <w:r>
              <w:t>3.35</w:t>
            </w:r>
          </w:p>
        </w:tc>
        <w:tc>
          <w:tcPr>
            <w:tcW w:w="2928" w:type="dxa"/>
            <w:tcBorders>
              <w:top w:val="nil"/>
              <w:left w:val="nil"/>
              <w:bottom w:val="nil"/>
              <w:right w:val="nil"/>
            </w:tcBorders>
            <w:shd w:val="clear" w:color="auto" w:fill="auto"/>
            <w:tcMar>
              <w:top w:w="100" w:type="dxa"/>
              <w:left w:w="100" w:type="dxa"/>
              <w:bottom w:w="100" w:type="dxa"/>
              <w:right w:w="100" w:type="dxa"/>
            </w:tcMar>
          </w:tcPr>
          <w:p w14:paraId="3F7BC80C" w14:textId="77777777" w:rsidR="0062102E" w:rsidRDefault="00A54FD8">
            <w:pPr>
              <w:spacing w:line="240" w:lineRule="auto"/>
              <w:jc w:val="center"/>
            </w:pPr>
            <w:r>
              <w:t>0.19</w:t>
            </w:r>
          </w:p>
        </w:tc>
      </w:tr>
      <w:tr w:rsidR="0062102E" w14:paraId="0F33654E"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0C256BC2" w14:textId="77777777" w:rsidR="0062102E" w:rsidRDefault="00A54FD8">
            <w:pPr>
              <w:spacing w:line="240" w:lineRule="auto"/>
              <w:jc w:val="center"/>
            </w:pPr>
            <w:r>
              <w:t>10</w:t>
            </w:r>
          </w:p>
        </w:tc>
        <w:tc>
          <w:tcPr>
            <w:tcW w:w="2973" w:type="dxa"/>
            <w:tcBorders>
              <w:top w:val="nil"/>
              <w:left w:val="nil"/>
              <w:bottom w:val="nil"/>
              <w:right w:val="nil"/>
            </w:tcBorders>
            <w:shd w:val="clear" w:color="auto" w:fill="auto"/>
            <w:tcMar>
              <w:top w:w="100" w:type="dxa"/>
              <w:left w:w="100" w:type="dxa"/>
              <w:bottom w:w="100" w:type="dxa"/>
              <w:right w:w="100" w:type="dxa"/>
            </w:tcMar>
          </w:tcPr>
          <w:p w14:paraId="12A3AC99" w14:textId="77777777" w:rsidR="0062102E" w:rsidRDefault="00A54FD8">
            <w:pPr>
              <w:spacing w:line="240" w:lineRule="auto"/>
              <w:jc w:val="center"/>
            </w:pPr>
            <w:r>
              <w:t>476.01</w:t>
            </w:r>
          </w:p>
        </w:tc>
        <w:tc>
          <w:tcPr>
            <w:tcW w:w="2928" w:type="dxa"/>
            <w:tcBorders>
              <w:top w:val="nil"/>
              <w:left w:val="nil"/>
              <w:bottom w:val="nil"/>
              <w:right w:val="nil"/>
            </w:tcBorders>
            <w:shd w:val="clear" w:color="auto" w:fill="auto"/>
            <w:tcMar>
              <w:top w:w="100" w:type="dxa"/>
              <w:left w:w="100" w:type="dxa"/>
              <w:bottom w:w="100" w:type="dxa"/>
              <w:right w:w="100" w:type="dxa"/>
            </w:tcMar>
          </w:tcPr>
          <w:p w14:paraId="2C21291F" w14:textId="77777777" w:rsidR="0062102E" w:rsidRDefault="00A54FD8">
            <w:pPr>
              <w:spacing w:line="240" w:lineRule="auto"/>
              <w:jc w:val="center"/>
            </w:pPr>
            <w:r>
              <w:t>&lt;.01</w:t>
            </w:r>
          </w:p>
        </w:tc>
      </w:tr>
      <w:tr w:rsidR="0062102E" w14:paraId="20DCF3D5"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41C2090C" w14:textId="77777777" w:rsidR="0062102E" w:rsidRDefault="00A54FD8">
            <w:pPr>
              <w:spacing w:line="240" w:lineRule="auto"/>
              <w:jc w:val="center"/>
            </w:pPr>
            <w:r>
              <w:t>11</w:t>
            </w:r>
          </w:p>
        </w:tc>
        <w:tc>
          <w:tcPr>
            <w:tcW w:w="2973" w:type="dxa"/>
            <w:tcBorders>
              <w:top w:val="nil"/>
              <w:left w:val="nil"/>
              <w:bottom w:val="nil"/>
              <w:right w:val="nil"/>
            </w:tcBorders>
            <w:shd w:val="clear" w:color="auto" w:fill="auto"/>
            <w:tcMar>
              <w:top w:w="100" w:type="dxa"/>
              <w:left w:w="100" w:type="dxa"/>
              <w:bottom w:w="100" w:type="dxa"/>
              <w:right w:w="100" w:type="dxa"/>
            </w:tcMar>
          </w:tcPr>
          <w:p w14:paraId="4BE1F58A" w14:textId="77777777" w:rsidR="0062102E" w:rsidRDefault="00A54FD8">
            <w:pPr>
              <w:spacing w:line="240" w:lineRule="auto"/>
              <w:jc w:val="center"/>
            </w:pPr>
            <w:r>
              <w:t>56.96</w:t>
            </w:r>
          </w:p>
        </w:tc>
        <w:tc>
          <w:tcPr>
            <w:tcW w:w="2928" w:type="dxa"/>
            <w:tcBorders>
              <w:top w:val="nil"/>
              <w:left w:val="nil"/>
              <w:bottom w:val="nil"/>
              <w:right w:val="nil"/>
            </w:tcBorders>
            <w:shd w:val="clear" w:color="auto" w:fill="auto"/>
            <w:tcMar>
              <w:top w:w="100" w:type="dxa"/>
              <w:left w:w="100" w:type="dxa"/>
              <w:bottom w:w="100" w:type="dxa"/>
              <w:right w:w="100" w:type="dxa"/>
            </w:tcMar>
          </w:tcPr>
          <w:p w14:paraId="3695835A" w14:textId="77777777" w:rsidR="0062102E" w:rsidRDefault="00A54FD8">
            <w:pPr>
              <w:spacing w:line="240" w:lineRule="auto"/>
              <w:jc w:val="center"/>
            </w:pPr>
            <w:r>
              <w:t>&lt;.01</w:t>
            </w:r>
          </w:p>
        </w:tc>
      </w:tr>
      <w:tr w:rsidR="0062102E" w14:paraId="52AB058A"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5782E794" w14:textId="77777777" w:rsidR="0062102E" w:rsidRDefault="00A54FD8">
            <w:pPr>
              <w:spacing w:line="240" w:lineRule="auto"/>
              <w:jc w:val="center"/>
            </w:pPr>
            <w:r>
              <w:t>12</w:t>
            </w:r>
          </w:p>
        </w:tc>
        <w:tc>
          <w:tcPr>
            <w:tcW w:w="2973" w:type="dxa"/>
            <w:tcBorders>
              <w:top w:val="nil"/>
              <w:left w:val="nil"/>
              <w:bottom w:val="nil"/>
              <w:right w:val="nil"/>
            </w:tcBorders>
            <w:shd w:val="clear" w:color="auto" w:fill="auto"/>
            <w:tcMar>
              <w:top w:w="100" w:type="dxa"/>
              <w:left w:w="100" w:type="dxa"/>
              <w:bottom w:w="100" w:type="dxa"/>
              <w:right w:w="100" w:type="dxa"/>
            </w:tcMar>
          </w:tcPr>
          <w:p w14:paraId="53FAF141" w14:textId="77777777" w:rsidR="0062102E" w:rsidRDefault="00A54FD8">
            <w:pPr>
              <w:spacing w:line="240" w:lineRule="auto"/>
              <w:jc w:val="center"/>
            </w:pPr>
            <w:r>
              <w:t>283.65</w:t>
            </w:r>
          </w:p>
        </w:tc>
        <w:tc>
          <w:tcPr>
            <w:tcW w:w="2928" w:type="dxa"/>
            <w:tcBorders>
              <w:top w:val="nil"/>
              <w:left w:val="nil"/>
              <w:bottom w:val="nil"/>
              <w:right w:val="nil"/>
            </w:tcBorders>
            <w:shd w:val="clear" w:color="auto" w:fill="auto"/>
            <w:tcMar>
              <w:top w:w="100" w:type="dxa"/>
              <w:left w:w="100" w:type="dxa"/>
              <w:bottom w:w="100" w:type="dxa"/>
              <w:right w:w="100" w:type="dxa"/>
            </w:tcMar>
          </w:tcPr>
          <w:p w14:paraId="5D06384F" w14:textId="77777777" w:rsidR="0062102E" w:rsidRDefault="00A54FD8">
            <w:pPr>
              <w:spacing w:line="240" w:lineRule="auto"/>
              <w:jc w:val="center"/>
            </w:pPr>
            <w:r>
              <w:t>&lt;.01</w:t>
            </w:r>
          </w:p>
        </w:tc>
      </w:tr>
      <w:tr w:rsidR="0062102E" w14:paraId="2B84269B"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06006CFB" w14:textId="77777777" w:rsidR="0062102E" w:rsidRDefault="00A54FD8">
            <w:pPr>
              <w:spacing w:line="240" w:lineRule="auto"/>
              <w:jc w:val="center"/>
            </w:pPr>
            <w:r>
              <w:t>13</w:t>
            </w:r>
          </w:p>
        </w:tc>
        <w:tc>
          <w:tcPr>
            <w:tcW w:w="2973" w:type="dxa"/>
            <w:tcBorders>
              <w:top w:val="nil"/>
              <w:left w:val="nil"/>
              <w:bottom w:val="nil"/>
              <w:right w:val="nil"/>
            </w:tcBorders>
            <w:shd w:val="clear" w:color="auto" w:fill="auto"/>
            <w:tcMar>
              <w:top w:w="100" w:type="dxa"/>
              <w:left w:w="100" w:type="dxa"/>
              <w:bottom w:w="100" w:type="dxa"/>
              <w:right w:w="100" w:type="dxa"/>
            </w:tcMar>
          </w:tcPr>
          <w:p w14:paraId="59619799" w14:textId="77777777" w:rsidR="0062102E" w:rsidRDefault="00A54FD8">
            <w:pPr>
              <w:spacing w:line="240" w:lineRule="auto"/>
              <w:jc w:val="center"/>
            </w:pPr>
            <w:r>
              <w:t>1.66</w:t>
            </w:r>
          </w:p>
        </w:tc>
        <w:tc>
          <w:tcPr>
            <w:tcW w:w="2928" w:type="dxa"/>
            <w:tcBorders>
              <w:top w:val="nil"/>
              <w:left w:val="nil"/>
              <w:bottom w:val="nil"/>
              <w:right w:val="nil"/>
            </w:tcBorders>
            <w:shd w:val="clear" w:color="auto" w:fill="auto"/>
            <w:tcMar>
              <w:top w:w="100" w:type="dxa"/>
              <w:left w:w="100" w:type="dxa"/>
              <w:bottom w:w="100" w:type="dxa"/>
              <w:right w:w="100" w:type="dxa"/>
            </w:tcMar>
          </w:tcPr>
          <w:p w14:paraId="1001AE30" w14:textId="77777777" w:rsidR="0062102E" w:rsidRDefault="00A54FD8">
            <w:pPr>
              <w:spacing w:line="240" w:lineRule="auto"/>
              <w:jc w:val="center"/>
            </w:pPr>
            <w:r>
              <w:t>0.44*</w:t>
            </w:r>
          </w:p>
        </w:tc>
      </w:tr>
      <w:tr w:rsidR="0062102E" w14:paraId="1A45AB4E"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07C9C082" w14:textId="77777777" w:rsidR="0062102E" w:rsidRDefault="00A54FD8">
            <w:pPr>
              <w:spacing w:line="240" w:lineRule="auto"/>
              <w:jc w:val="center"/>
            </w:pPr>
            <w:r>
              <w:t>15</w:t>
            </w:r>
          </w:p>
        </w:tc>
        <w:tc>
          <w:tcPr>
            <w:tcW w:w="2973" w:type="dxa"/>
            <w:tcBorders>
              <w:top w:val="nil"/>
              <w:left w:val="nil"/>
              <w:bottom w:val="nil"/>
              <w:right w:val="nil"/>
            </w:tcBorders>
            <w:shd w:val="clear" w:color="auto" w:fill="auto"/>
            <w:tcMar>
              <w:top w:w="100" w:type="dxa"/>
              <w:left w:w="100" w:type="dxa"/>
              <w:bottom w:w="100" w:type="dxa"/>
              <w:right w:w="100" w:type="dxa"/>
            </w:tcMar>
          </w:tcPr>
          <w:p w14:paraId="61EAF78B" w14:textId="77777777" w:rsidR="0062102E" w:rsidRDefault="00A54FD8">
            <w:pPr>
              <w:spacing w:line="240" w:lineRule="auto"/>
              <w:jc w:val="center"/>
            </w:pPr>
            <w:r>
              <w:t>6.69</w:t>
            </w:r>
          </w:p>
        </w:tc>
        <w:tc>
          <w:tcPr>
            <w:tcW w:w="2928" w:type="dxa"/>
            <w:tcBorders>
              <w:top w:val="nil"/>
              <w:left w:val="nil"/>
              <w:bottom w:val="nil"/>
              <w:right w:val="nil"/>
            </w:tcBorders>
            <w:shd w:val="clear" w:color="auto" w:fill="auto"/>
            <w:tcMar>
              <w:top w:w="100" w:type="dxa"/>
              <w:left w:w="100" w:type="dxa"/>
              <w:bottom w:w="100" w:type="dxa"/>
              <w:right w:w="100" w:type="dxa"/>
            </w:tcMar>
          </w:tcPr>
          <w:p w14:paraId="0E2771CE" w14:textId="77777777" w:rsidR="0062102E" w:rsidRDefault="00A54FD8">
            <w:pPr>
              <w:spacing w:line="240" w:lineRule="auto"/>
              <w:jc w:val="center"/>
            </w:pPr>
            <w:r>
              <w:t>0.04</w:t>
            </w:r>
          </w:p>
        </w:tc>
      </w:tr>
      <w:tr w:rsidR="0062102E" w14:paraId="4CCE09EB"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7DC97D0A" w14:textId="77777777" w:rsidR="0062102E" w:rsidRDefault="00A54FD8">
            <w:pPr>
              <w:spacing w:line="240" w:lineRule="auto"/>
              <w:jc w:val="center"/>
            </w:pPr>
            <w:r>
              <w:t>16</w:t>
            </w:r>
          </w:p>
        </w:tc>
        <w:tc>
          <w:tcPr>
            <w:tcW w:w="2973" w:type="dxa"/>
            <w:tcBorders>
              <w:top w:val="nil"/>
              <w:left w:val="nil"/>
              <w:bottom w:val="nil"/>
              <w:right w:val="nil"/>
            </w:tcBorders>
            <w:shd w:val="clear" w:color="auto" w:fill="auto"/>
            <w:tcMar>
              <w:top w:w="100" w:type="dxa"/>
              <w:left w:w="100" w:type="dxa"/>
              <w:bottom w:w="100" w:type="dxa"/>
              <w:right w:w="100" w:type="dxa"/>
            </w:tcMar>
          </w:tcPr>
          <w:p w14:paraId="35CEE132" w14:textId="77777777" w:rsidR="0062102E" w:rsidRDefault="00A54FD8">
            <w:pPr>
              <w:spacing w:line="240" w:lineRule="auto"/>
              <w:jc w:val="center"/>
            </w:pPr>
            <w:r>
              <w:t>159.31</w:t>
            </w:r>
          </w:p>
        </w:tc>
        <w:tc>
          <w:tcPr>
            <w:tcW w:w="2928" w:type="dxa"/>
            <w:tcBorders>
              <w:top w:val="nil"/>
              <w:left w:val="nil"/>
              <w:bottom w:val="nil"/>
              <w:right w:val="nil"/>
            </w:tcBorders>
            <w:shd w:val="clear" w:color="auto" w:fill="auto"/>
            <w:tcMar>
              <w:top w:w="100" w:type="dxa"/>
              <w:left w:w="100" w:type="dxa"/>
              <w:bottom w:w="100" w:type="dxa"/>
              <w:right w:w="100" w:type="dxa"/>
            </w:tcMar>
          </w:tcPr>
          <w:p w14:paraId="5CA1F8AE" w14:textId="77777777" w:rsidR="0062102E" w:rsidRDefault="00A54FD8">
            <w:pPr>
              <w:spacing w:line="240" w:lineRule="auto"/>
              <w:jc w:val="center"/>
            </w:pPr>
            <w:r>
              <w:t>&lt;.01</w:t>
            </w:r>
          </w:p>
        </w:tc>
      </w:tr>
      <w:tr w:rsidR="0062102E" w14:paraId="4785584C"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175F6CFE" w14:textId="77777777" w:rsidR="0062102E" w:rsidRDefault="00A54FD8">
            <w:pPr>
              <w:spacing w:line="240" w:lineRule="auto"/>
              <w:jc w:val="center"/>
            </w:pPr>
            <w:r>
              <w:t>17</w:t>
            </w:r>
          </w:p>
        </w:tc>
        <w:tc>
          <w:tcPr>
            <w:tcW w:w="2973" w:type="dxa"/>
            <w:tcBorders>
              <w:top w:val="nil"/>
              <w:left w:val="nil"/>
              <w:bottom w:val="nil"/>
              <w:right w:val="nil"/>
            </w:tcBorders>
            <w:shd w:val="clear" w:color="auto" w:fill="auto"/>
            <w:tcMar>
              <w:top w:w="100" w:type="dxa"/>
              <w:left w:w="100" w:type="dxa"/>
              <w:bottom w:w="100" w:type="dxa"/>
              <w:right w:w="100" w:type="dxa"/>
            </w:tcMar>
          </w:tcPr>
          <w:p w14:paraId="42E4FFF9" w14:textId="77777777" w:rsidR="0062102E" w:rsidRDefault="00A54FD8">
            <w:pPr>
              <w:spacing w:line="240" w:lineRule="auto"/>
              <w:jc w:val="center"/>
            </w:pPr>
            <w:r>
              <w:t>3.83</w:t>
            </w:r>
          </w:p>
        </w:tc>
        <w:tc>
          <w:tcPr>
            <w:tcW w:w="2928" w:type="dxa"/>
            <w:tcBorders>
              <w:top w:val="nil"/>
              <w:left w:val="nil"/>
              <w:bottom w:val="nil"/>
              <w:right w:val="nil"/>
            </w:tcBorders>
            <w:shd w:val="clear" w:color="auto" w:fill="auto"/>
            <w:tcMar>
              <w:top w:w="100" w:type="dxa"/>
              <w:left w:w="100" w:type="dxa"/>
              <w:bottom w:w="100" w:type="dxa"/>
              <w:right w:w="100" w:type="dxa"/>
            </w:tcMar>
          </w:tcPr>
          <w:p w14:paraId="663CDA08" w14:textId="77777777" w:rsidR="0062102E" w:rsidRDefault="00A54FD8">
            <w:pPr>
              <w:spacing w:line="240" w:lineRule="auto"/>
              <w:jc w:val="center"/>
            </w:pPr>
            <w:r>
              <w:t>0.15</w:t>
            </w:r>
          </w:p>
        </w:tc>
      </w:tr>
      <w:tr w:rsidR="0062102E" w14:paraId="13FA4276"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61992AF5" w14:textId="77777777" w:rsidR="0062102E" w:rsidRDefault="00A54FD8">
            <w:pPr>
              <w:spacing w:line="240" w:lineRule="auto"/>
              <w:jc w:val="center"/>
            </w:pPr>
            <w:r>
              <w:t>18</w:t>
            </w:r>
          </w:p>
        </w:tc>
        <w:tc>
          <w:tcPr>
            <w:tcW w:w="2973" w:type="dxa"/>
            <w:tcBorders>
              <w:top w:val="nil"/>
              <w:left w:val="nil"/>
              <w:bottom w:val="nil"/>
              <w:right w:val="nil"/>
            </w:tcBorders>
            <w:shd w:val="clear" w:color="auto" w:fill="auto"/>
            <w:tcMar>
              <w:top w:w="100" w:type="dxa"/>
              <w:left w:w="100" w:type="dxa"/>
              <w:bottom w:w="100" w:type="dxa"/>
              <w:right w:w="100" w:type="dxa"/>
            </w:tcMar>
          </w:tcPr>
          <w:p w14:paraId="4C11E08E" w14:textId="77777777" w:rsidR="0062102E" w:rsidRDefault="00A54FD8">
            <w:pPr>
              <w:spacing w:line="240" w:lineRule="auto"/>
              <w:jc w:val="center"/>
            </w:pPr>
            <w:r>
              <w:t>240.61</w:t>
            </w:r>
          </w:p>
        </w:tc>
        <w:tc>
          <w:tcPr>
            <w:tcW w:w="2928" w:type="dxa"/>
            <w:tcBorders>
              <w:top w:val="nil"/>
              <w:left w:val="nil"/>
              <w:bottom w:val="nil"/>
              <w:right w:val="nil"/>
            </w:tcBorders>
            <w:shd w:val="clear" w:color="auto" w:fill="auto"/>
            <w:tcMar>
              <w:top w:w="100" w:type="dxa"/>
              <w:left w:w="100" w:type="dxa"/>
              <w:bottom w:w="100" w:type="dxa"/>
              <w:right w:w="100" w:type="dxa"/>
            </w:tcMar>
          </w:tcPr>
          <w:p w14:paraId="64E08279" w14:textId="77777777" w:rsidR="0062102E" w:rsidRDefault="00A54FD8">
            <w:pPr>
              <w:spacing w:line="240" w:lineRule="auto"/>
              <w:jc w:val="center"/>
            </w:pPr>
            <w:r>
              <w:t>&lt;.01</w:t>
            </w:r>
          </w:p>
        </w:tc>
      </w:tr>
      <w:tr w:rsidR="0062102E" w14:paraId="3AED929C" w14:textId="77777777" w:rsidTr="00DB09D5">
        <w:trPr>
          <w:cantSplit/>
          <w:trHeight w:val="144"/>
        </w:trPr>
        <w:tc>
          <w:tcPr>
            <w:tcW w:w="3018" w:type="dxa"/>
            <w:tcBorders>
              <w:top w:val="nil"/>
              <w:left w:val="nil"/>
              <w:bottom w:val="nil"/>
              <w:right w:val="nil"/>
            </w:tcBorders>
            <w:shd w:val="clear" w:color="auto" w:fill="auto"/>
            <w:tcMar>
              <w:top w:w="100" w:type="dxa"/>
              <w:left w:w="100" w:type="dxa"/>
              <w:bottom w:w="100" w:type="dxa"/>
              <w:right w:w="100" w:type="dxa"/>
            </w:tcMar>
          </w:tcPr>
          <w:p w14:paraId="02D46EEE" w14:textId="77777777" w:rsidR="0062102E" w:rsidRDefault="00A54FD8">
            <w:pPr>
              <w:spacing w:line="240" w:lineRule="auto"/>
              <w:jc w:val="center"/>
            </w:pPr>
            <w:r>
              <w:t>19</w:t>
            </w:r>
          </w:p>
        </w:tc>
        <w:tc>
          <w:tcPr>
            <w:tcW w:w="2973" w:type="dxa"/>
            <w:tcBorders>
              <w:top w:val="nil"/>
              <w:left w:val="nil"/>
              <w:bottom w:val="nil"/>
              <w:right w:val="nil"/>
            </w:tcBorders>
            <w:shd w:val="clear" w:color="auto" w:fill="auto"/>
            <w:tcMar>
              <w:top w:w="100" w:type="dxa"/>
              <w:left w:w="100" w:type="dxa"/>
              <w:bottom w:w="100" w:type="dxa"/>
              <w:right w:w="100" w:type="dxa"/>
            </w:tcMar>
          </w:tcPr>
          <w:p w14:paraId="2AB04D92" w14:textId="77777777" w:rsidR="0062102E" w:rsidRDefault="00A54FD8">
            <w:pPr>
              <w:spacing w:line="240" w:lineRule="auto"/>
              <w:jc w:val="center"/>
            </w:pPr>
            <w:r>
              <w:t>12.65</w:t>
            </w:r>
          </w:p>
        </w:tc>
        <w:tc>
          <w:tcPr>
            <w:tcW w:w="2928" w:type="dxa"/>
            <w:tcBorders>
              <w:top w:val="nil"/>
              <w:left w:val="nil"/>
              <w:bottom w:val="nil"/>
              <w:right w:val="nil"/>
            </w:tcBorders>
            <w:shd w:val="clear" w:color="auto" w:fill="auto"/>
            <w:tcMar>
              <w:top w:w="100" w:type="dxa"/>
              <w:left w:w="100" w:type="dxa"/>
              <w:bottom w:w="100" w:type="dxa"/>
              <w:right w:w="100" w:type="dxa"/>
            </w:tcMar>
          </w:tcPr>
          <w:p w14:paraId="489C9ADB" w14:textId="77777777" w:rsidR="0062102E" w:rsidRDefault="00A54FD8">
            <w:pPr>
              <w:spacing w:line="240" w:lineRule="auto"/>
              <w:jc w:val="center"/>
            </w:pPr>
            <w:r>
              <w:t>&lt;.01</w:t>
            </w:r>
          </w:p>
        </w:tc>
      </w:tr>
      <w:tr w:rsidR="0062102E" w14:paraId="0BECB3D7" w14:textId="77777777" w:rsidTr="00DB09D5">
        <w:trPr>
          <w:cantSplit/>
          <w:trHeight w:val="144"/>
        </w:trPr>
        <w:tc>
          <w:tcPr>
            <w:tcW w:w="3018" w:type="dxa"/>
            <w:tcBorders>
              <w:top w:val="nil"/>
              <w:left w:val="nil"/>
              <w:bottom w:val="single" w:sz="8" w:space="0" w:color="000000"/>
              <w:right w:val="nil"/>
            </w:tcBorders>
            <w:shd w:val="clear" w:color="auto" w:fill="auto"/>
            <w:tcMar>
              <w:top w:w="100" w:type="dxa"/>
              <w:left w:w="100" w:type="dxa"/>
              <w:bottom w:w="100" w:type="dxa"/>
              <w:right w:w="100" w:type="dxa"/>
            </w:tcMar>
          </w:tcPr>
          <w:p w14:paraId="471E3659" w14:textId="77777777" w:rsidR="0062102E" w:rsidRDefault="00A54FD8">
            <w:pPr>
              <w:spacing w:line="240" w:lineRule="auto"/>
              <w:jc w:val="center"/>
            </w:pPr>
            <w:r>
              <w:t>20</w:t>
            </w:r>
          </w:p>
        </w:tc>
        <w:tc>
          <w:tcPr>
            <w:tcW w:w="2973" w:type="dxa"/>
            <w:tcBorders>
              <w:top w:val="nil"/>
              <w:left w:val="nil"/>
              <w:bottom w:val="single" w:sz="8" w:space="0" w:color="000000"/>
              <w:right w:val="nil"/>
            </w:tcBorders>
            <w:shd w:val="clear" w:color="auto" w:fill="auto"/>
            <w:tcMar>
              <w:top w:w="100" w:type="dxa"/>
              <w:left w:w="100" w:type="dxa"/>
              <w:bottom w:w="100" w:type="dxa"/>
              <w:right w:w="100" w:type="dxa"/>
            </w:tcMar>
          </w:tcPr>
          <w:p w14:paraId="6D17DFB4" w14:textId="77777777" w:rsidR="0062102E" w:rsidRDefault="00A54FD8">
            <w:pPr>
              <w:spacing w:line="240" w:lineRule="auto"/>
              <w:jc w:val="center"/>
            </w:pPr>
            <w:r>
              <w:t>13.12</w:t>
            </w:r>
          </w:p>
        </w:tc>
        <w:tc>
          <w:tcPr>
            <w:tcW w:w="2928" w:type="dxa"/>
            <w:tcBorders>
              <w:top w:val="nil"/>
              <w:left w:val="nil"/>
              <w:bottom w:val="single" w:sz="8" w:space="0" w:color="000000"/>
              <w:right w:val="nil"/>
            </w:tcBorders>
            <w:shd w:val="clear" w:color="auto" w:fill="auto"/>
            <w:tcMar>
              <w:top w:w="100" w:type="dxa"/>
              <w:left w:w="100" w:type="dxa"/>
              <w:bottom w:w="100" w:type="dxa"/>
              <w:right w:w="100" w:type="dxa"/>
            </w:tcMar>
          </w:tcPr>
          <w:p w14:paraId="47EDE165" w14:textId="77777777" w:rsidR="0062102E" w:rsidRDefault="00A54FD8">
            <w:pPr>
              <w:spacing w:line="240" w:lineRule="auto"/>
              <w:jc w:val="center"/>
            </w:pPr>
            <w:r>
              <w:t>&lt;.01</w:t>
            </w:r>
          </w:p>
        </w:tc>
      </w:tr>
    </w:tbl>
    <w:p w14:paraId="12BBF1E9" w14:textId="77777777" w:rsidR="0062102E" w:rsidRDefault="00DB09D5">
      <w:pPr>
        <w:spacing w:line="240" w:lineRule="auto"/>
      </w:pPr>
      <w:r>
        <w:t xml:space="preserve">* </w:t>
      </w:r>
      <w:r w:rsidRPr="005141FF">
        <w:rPr>
          <w:i/>
        </w:rPr>
        <w:t xml:space="preserve">p </w:t>
      </w:r>
      <w:r w:rsidRPr="005141FF">
        <w:t xml:space="preserve">values greater than 0.05, indicating no evidence of a departure from uniformity for participants </w:t>
      </w:r>
      <w:r>
        <w:t>1 and 13.</w:t>
      </w:r>
    </w:p>
    <w:p w14:paraId="4F3C30F7" w14:textId="77777777" w:rsidR="0062102E" w:rsidRDefault="0062102E"/>
    <w:p w14:paraId="532F4BD8" w14:textId="77777777" w:rsidR="0062102E" w:rsidRDefault="00A54FD8" w:rsidP="00BD0526">
      <w:pPr>
        <w:ind w:left="360"/>
        <w:rPr>
          <w:b/>
        </w:rPr>
      </w:pPr>
      <w:r>
        <w:rPr>
          <w:b/>
        </w:rPr>
        <w:t>Introduce Data subsets</w:t>
      </w:r>
    </w:p>
    <w:p w14:paraId="587D8EAF" w14:textId="77777777" w:rsidR="0062102E" w:rsidRDefault="00A54FD8">
      <w:pPr>
        <w:numPr>
          <w:ilvl w:val="1"/>
          <w:numId w:val="2"/>
        </w:numPr>
      </w:pPr>
      <w:r>
        <w:t xml:space="preserve">Recognition Confidence: </w:t>
      </w:r>
      <w:proofErr w:type="spellStart"/>
      <w:r>
        <w:t>Unrecognised</w:t>
      </w:r>
      <w:proofErr w:type="spellEnd"/>
      <w:r>
        <w:t xml:space="preserve"> (=&lt;3), Recognised (&gt;3), Recognised with High Confidence (=6)</w:t>
      </w:r>
    </w:p>
    <w:p w14:paraId="63D7BB05" w14:textId="77777777" w:rsidR="0062102E" w:rsidRDefault="00A54FD8">
      <w:pPr>
        <w:numPr>
          <w:ilvl w:val="1"/>
          <w:numId w:val="2"/>
        </w:numPr>
      </w:pPr>
      <w:r>
        <w:t>Super-participants (?)</w:t>
      </w:r>
    </w:p>
    <w:p w14:paraId="662E9AC9" w14:textId="77777777" w:rsidR="0062102E" w:rsidRDefault="00A54FD8" w:rsidP="00BD0526">
      <w:pPr>
        <w:ind w:left="360"/>
        <w:rPr>
          <w:b/>
        </w:rPr>
      </w:pPr>
      <w:r>
        <w:rPr>
          <w:b/>
        </w:rPr>
        <w:t>Simple Mixture Model (Marginal Response Error)</w:t>
      </w:r>
    </w:p>
    <w:p w14:paraId="24F50769" w14:textId="77777777" w:rsidR="0062102E" w:rsidRDefault="00A54FD8" w:rsidP="00BD0526">
      <w:pPr>
        <w:ind w:left="360"/>
        <w:rPr>
          <w:b/>
        </w:rPr>
      </w:pPr>
      <w:r>
        <w:rPr>
          <w:b/>
        </w:rPr>
        <w:t xml:space="preserve">Continuous and Threshold Model Comparison </w:t>
      </w:r>
    </w:p>
    <w:p w14:paraId="6729FA52" w14:textId="77777777" w:rsidR="0062102E" w:rsidRDefault="00A54FD8" w:rsidP="00BD0526">
      <w:pPr>
        <w:ind w:left="360"/>
        <w:rPr>
          <w:b/>
        </w:rPr>
      </w:pPr>
      <w:r>
        <w:rPr>
          <w:b/>
        </w:rPr>
        <w:t xml:space="preserve">Parameter Space of </w:t>
      </w:r>
      <w:proofErr w:type="spellStart"/>
      <w:r>
        <w:rPr>
          <w:b/>
        </w:rPr>
        <w:t>Generalised</w:t>
      </w:r>
      <w:proofErr w:type="spellEnd"/>
      <w:r>
        <w:rPr>
          <w:b/>
        </w:rPr>
        <w:t xml:space="preserve"> Von Mises </w:t>
      </w:r>
    </w:p>
    <w:p w14:paraId="5074F7F3" w14:textId="203B3195" w:rsidR="0062102E" w:rsidRDefault="00A54FD8">
      <w:pPr>
        <w:numPr>
          <w:ilvl w:val="1"/>
          <w:numId w:val="1"/>
        </w:numPr>
      </w:pPr>
      <w:r>
        <w:t>Cri</w:t>
      </w:r>
      <w:r>
        <w:t>terion Variability on High Confidence subset</w:t>
      </w:r>
    </w:p>
    <w:p w14:paraId="19E9DF9F" w14:textId="3B9B3F9F" w:rsidR="00BD0526" w:rsidRDefault="00BD0526">
      <w:pPr>
        <w:numPr>
          <w:ilvl w:val="1"/>
          <w:numId w:val="1"/>
        </w:numPr>
      </w:pPr>
      <w:r>
        <w:lastRenderedPageBreak/>
        <w:t xml:space="preserve">Need to have a sense of why </w:t>
      </w:r>
      <w:proofErr w:type="spellStart"/>
      <w:r>
        <w:t>its</w:t>
      </w:r>
      <w:proofErr w:type="spellEnd"/>
      <w:r>
        <w:t xml:space="preserve"> coming out like a mixture model</w:t>
      </w:r>
    </w:p>
    <w:p w14:paraId="4DE490D3" w14:textId="14BA7C6D" w:rsidR="00BD0526" w:rsidRDefault="00BD0526">
      <w:pPr>
        <w:numPr>
          <w:ilvl w:val="1"/>
          <w:numId w:val="1"/>
        </w:numPr>
      </w:pPr>
      <w:r>
        <w:t>QQ plots will be helpful, shows joint distribution.</w:t>
      </w:r>
    </w:p>
    <w:p w14:paraId="32590F27" w14:textId="77777777" w:rsidR="0062102E" w:rsidRDefault="0062102E">
      <w:pPr>
        <w:ind w:left="720"/>
      </w:pPr>
    </w:p>
    <w:p w14:paraId="1DA717E6" w14:textId="77777777" w:rsidR="0062102E" w:rsidRDefault="00A54FD8">
      <w:pPr>
        <w:pStyle w:val="Heading1"/>
        <w:ind w:firstLine="720"/>
        <w:jc w:val="center"/>
        <w:rPr>
          <w:b/>
          <w:sz w:val="24"/>
          <w:szCs w:val="24"/>
        </w:rPr>
      </w:pPr>
      <w:bookmarkStart w:id="21" w:name="_ek5u4pqa8epf" w:colFirst="0" w:colLast="0"/>
      <w:bookmarkEnd w:id="21"/>
      <w:r>
        <w:rPr>
          <w:b/>
          <w:sz w:val="24"/>
          <w:szCs w:val="24"/>
        </w:rPr>
        <w:t>Discussion</w:t>
      </w:r>
    </w:p>
    <w:p w14:paraId="2E4C8608" w14:textId="77777777" w:rsidR="0062102E" w:rsidRDefault="00A54FD8">
      <w:r>
        <w:tab/>
        <w:t xml:space="preserve">In this study, we aimed to apply the Smith (2016) circular diffusion model to provide an account of performance in a continuous source memory task with an elaborated decision component. </w:t>
      </w:r>
      <w:r>
        <w:rPr>
          <w:color w:val="FF0000"/>
        </w:rPr>
        <w:t>Being the fi</w:t>
      </w:r>
      <w:r>
        <w:rPr>
          <w:color w:val="FF0000"/>
        </w:rPr>
        <w:t>rst application of the circular diffusion model to the source memory literature, this study demonstrates that a source memory continuous report task like that of Harlow and Donaldson (2013) can successfully be modelled using a diffusion process.</w:t>
      </w:r>
    </w:p>
    <w:p w14:paraId="48BEB294" w14:textId="77777777" w:rsidR="0062102E" w:rsidRDefault="00A54FD8">
      <w:pPr>
        <w:rPr>
          <w:color w:val="FF0000"/>
        </w:rPr>
      </w:pPr>
      <w:r>
        <w:tab/>
      </w:r>
      <w:r>
        <w:t>In comparing the Continuous and Threshold diffusion model analogues of source memory retrieval, we show that the Threshold model is preferred. The relative advantage the Threshold model has in fitting the source data comes from the addition of a zero-drift</w:t>
      </w:r>
      <w:r>
        <w:t xml:space="preserve"> mixture component. This finding holds when source responses are conditioned on successful recognition of the word item. This indicates that two components underlie responses in the task, in support of the original conclusion of the Harlow and Donaldson (2</w:t>
      </w:r>
      <w:r>
        <w:t xml:space="preserve">013) paper. </w:t>
      </w:r>
      <w:r>
        <w:t xml:space="preserve">Overall precision in the task was </w:t>
      </w:r>
      <w:proofErr w:type="gramStart"/>
      <w:r>
        <w:t>low, and</w:t>
      </w:r>
      <w:proofErr w:type="gramEnd"/>
      <w:r>
        <w:t xml:space="preserve"> varied substantially between participants. </w:t>
      </w:r>
      <w:r>
        <w:rPr>
          <w:color w:val="FF0000"/>
        </w:rPr>
        <w:t xml:space="preserve">Set up future experiment with multiple correlated sources, see what happens to response and RT distributions when task is easier. </w:t>
      </w:r>
    </w:p>
    <w:p w14:paraId="56D5B127" w14:textId="77777777" w:rsidR="0062102E" w:rsidRDefault="00A54FD8">
      <w:r>
        <w:tab/>
      </w:r>
      <w:r>
        <w:rPr>
          <w:color w:val="FF0000"/>
        </w:rPr>
        <w:t xml:space="preserve">[finding of </w:t>
      </w:r>
      <w:proofErr w:type="spellStart"/>
      <w:r>
        <w:rPr>
          <w:color w:val="FF0000"/>
        </w:rPr>
        <w:t>gvm</w:t>
      </w:r>
      <w:proofErr w:type="spellEnd"/>
      <w:r>
        <w:rPr>
          <w:color w:val="FF0000"/>
        </w:rPr>
        <w:t>, why we di</w:t>
      </w:r>
      <w:r>
        <w:rPr>
          <w:color w:val="FF0000"/>
        </w:rPr>
        <w:t>d it].</w:t>
      </w:r>
      <w:r>
        <w:t xml:space="preserve"> Within the parameter space of the </w:t>
      </w:r>
      <w:proofErr w:type="spellStart"/>
      <w:r>
        <w:t>Generalised</w:t>
      </w:r>
      <w:proofErr w:type="spellEnd"/>
      <w:r>
        <w:t xml:space="preserve"> Von Mises variant, best fits were attained when</w:t>
      </w:r>
      <w:r>
        <w:rPr>
          <w:color w:val="FF0000"/>
        </w:rPr>
        <w:t xml:space="preserve"> [kappa high, rho low]</w:t>
      </w:r>
      <w:r>
        <w:t xml:space="preserve">. This indicates </w:t>
      </w:r>
      <w:proofErr w:type="gramStart"/>
      <w:r>
        <w:t>that..</w:t>
      </w:r>
      <w:proofErr w:type="gramEnd"/>
    </w:p>
    <w:p w14:paraId="5EFA19C1" w14:textId="77777777" w:rsidR="0062102E" w:rsidRDefault="00A54FD8">
      <w:pPr>
        <w:rPr>
          <w:color w:val="FF0000"/>
        </w:rPr>
      </w:pPr>
      <w:r>
        <w:tab/>
      </w:r>
      <w:r>
        <w:rPr>
          <w:color w:val="FF0000"/>
        </w:rPr>
        <w:t>Methodological point: sequential presentation of source and item made task difficult, items may not be bound.</w:t>
      </w:r>
      <w:r>
        <w:rPr>
          <w:color w:val="FF0000"/>
        </w:rPr>
        <w:t xml:space="preserve"> Original point in doing this in Harlow and Donaldson (2013) was to prevent </w:t>
      </w:r>
      <w:proofErr w:type="spellStart"/>
      <w:proofErr w:type="gramStart"/>
      <w:r>
        <w:rPr>
          <w:color w:val="FF0000"/>
        </w:rPr>
        <w:t>unitisation</w:t>
      </w:r>
      <w:proofErr w:type="spellEnd"/>
      <w:r>
        <w:rPr>
          <w:color w:val="FF0000"/>
        </w:rPr>
        <w:t>, but</w:t>
      </w:r>
      <w:proofErr w:type="gramEnd"/>
      <w:r>
        <w:rPr>
          <w:color w:val="FF0000"/>
        </w:rPr>
        <w:t xml:space="preserve"> is circular in its reasoning. No reason that actual source memory should </w:t>
      </w:r>
      <w:r>
        <w:rPr>
          <w:color w:val="FF0000"/>
        </w:rPr>
        <w:lastRenderedPageBreak/>
        <w:t xml:space="preserve">be temporally separated from memory for item, </w:t>
      </w:r>
      <w:proofErr w:type="gramStart"/>
      <w:r>
        <w:rPr>
          <w:color w:val="FF0000"/>
        </w:rPr>
        <w:t>actually ecological</w:t>
      </w:r>
      <w:proofErr w:type="gramEnd"/>
      <w:r>
        <w:rPr>
          <w:color w:val="FF0000"/>
        </w:rPr>
        <w:t xml:space="preserve"> validity argument would </w:t>
      </w:r>
      <w:r>
        <w:rPr>
          <w:color w:val="FF0000"/>
        </w:rPr>
        <w:t>claim the opposite. Future experiment to present source and item simultaneously.</w:t>
      </w:r>
    </w:p>
    <w:p w14:paraId="3BBAF33B" w14:textId="77777777" w:rsidR="0062102E" w:rsidRDefault="0062102E">
      <w:pPr>
        <w:ind w:firstLine="720"/>
      </w:pPr>
    </w:p>
    <w:bookmarkEnd w:id="0"/>
    <w:p w14:paraId="0E11EA6A" w14:textId="77777777" w:rsidR="0062102E" w:rsidRDefault="0062102E"/>
    <w:sectPr w:rsidR="0062102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son Zhou" w:date="2019-03-21T15:48:00Z" w:initials="">
    <w:p w14:paraId="09ACD739"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whole paragraph makes me feel like I am repeating myself be</w:t>
      </w:r>
      <w:r>
        <w:rPr>
          <w:rFonts w:ascii="Arial" w:eastAsia="Arial" w:hAnsi="Arial" w:cs="Arial"/>
          <w:color w:val="000000"/>
          <w:sz w:val="22"/>
          <w:szCs w:val="22"/>
        </w:rPr>
        <w:t xml:space="preserve">low, but I think it would be good to give this foreground in source memory before diving into the </w:t>
      </w:r>
      <w:proofErr w:type="spellStart"/>
      <w:r>
        <w:rPr>
          <w:rFonts w:ascii="Arial" w:eastAsia="Arial" w:hAnsi="Arial" w:cs="Arial"/>
          <w:color w:val="000000"/>
          <w:sz w:val="22"/>
          <w:szCs w:val="22"/>
        </w:rPr>
        <w:t>Yonelinas</w:t>
      </w:r>
      <w:proofErr w:type="spellEnd"/>
      <w:r>
        <w:rPr>
          <w:rFonts w:ascii="Arial" w:eastAsia="Arial" w:hAnsi="Arial" w:cs="Arial"/>
          <w:color w:val="000000"/>
          <w:sz w:val="22"/>
          <w:szCs w:val="22"/>
        </w:rPr>
        <w:t xml:space="preserve"> world. Once I get in there, it feels awkward to reorient readers in the continuous v threshold debate when </w:t>
      </w:r>
      <w:proofErr w:type="spellStart"/>
      <w:r>
        <w:rPr>
          <w:rFonts w:ascii="Arial" w:eastAsia="Arial" w:hAnsi="Arial" w:cs="Arial"/>
          <w:color w:val="000000"/>
          <w:sz w:val="22"/>
          <w:szCs w:val="22"/>
        </w:rPr>
        <w:t>Im</w:t>
      </w:r>
      <w:proofErr w:type="spellEnd"/>
      <w:r>
        <w:rPr>
          <w:rFonts w:ascii="Arial" w:eastAsia="Arial" w:hAnsi="Arial" w:cs="Arial"/>
          <w:color w:val="000000"/>
          <w:sz w:val="22"/>
          <w:szCs w:val="22"/>
        </w:rPr>
        <w:t xml:space="preserve"> talking about ROCs</w:t>
      </w:r>
    </w:p>
  </w:comment>
  <w:comment w:id="6" w:author="Jason Zhou" w:date="2019-03-21T16:12:00Z" w:initials="">
    <w:p w14:paraId="46C96745"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wanted this to</w:t>
      </w:r>
      <w:r>
        <w:rPr>
          <w:rFonts w:ascii="Arial" w:eastAsia="Arial" w:hAnsi="Arial" w:cs="Arial"/>
          <w:color w:val="000000"/>
          <w:sz w:val="22"/>
          <w:szCs w:val="22"/>
        </w:rPr>
        <w:t xml:space="preserve"> flow on from the argument at the end of the "dual process" paragraph, but it gets kind of cumbersome when I insert the ROC predictions paragraph. I feel like the latter is required since </w:t>
      </w:r>
      <w:proofErr w:type="spellStart"/>
      <w:r>
        <w:rPr>
          <w:rFonts w:ascii="Arial" w:eastAsia="Arial" w:hAnsi="Arial" w:cs="Arial"/>
          <w:color w:val="000000"/>
          <w:sz w:val="22"/>
          <w:szCs w:val="22"/>
        </w:rPr>
        <w:t>thats</w:t>
      </w:r>
      <w:proofErr w:type="spellEnd"/>
      <w:r>
        <w:rPr>
          <w:rFonts w:ascii="Arial" w:eastAsia="Arial" w:hAnsi="Arial" w:cs="Arial"/>
          <w:color w:val="000000"/>
          <w:sz w:val="22"/>
          <w:szCs w:val="22"/>
        </w:rPr>
        <w:t xml:space="preserve"> at the heart of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paper- some structural</w:t>
      </w:r>
      <w:r>
        <w:rPr>
          <w:rFonts w:ascii="Arial" w:eastAsia="Arial" w:hAnsi="Arial" w:cs="Arial"/>
          <w:color w:val="000000"/>
          <w:sz w:val="22"/>
          <w:szCs w:val="22"/>
        </w:rPr>
        <w:t xml:space="preserve"> decisions to be revisited here.</w:t>
      </w:r>
    </w:p>
  </w:comment>
  <w:comment w:id="7" w:author="Adam Osth" w:date="2019-03-22T02:40:00Z" w:initials="">
    <w:p w14:paraId="378B996F"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This would be a bit clearer if you described above what was found for the lower confidence ROCs. i.e.: items that were not recognized were on the diagonal</w:t>
      </w:r>
    </w:p>
  </w:comment>
  <w:comment w:id="8" w:author="Adam Osth" w:date="2019-03-22T02:44:00Z" w:initials="">
    <w:p w14:paraId="018A093A"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proofErr w:type="gramStart"/>
      <w:r>
        <w:rPr>
          <w:rFonts w:ascii="Arial" w:eastAsia="Arial" w:hAnsi="Arial" w:cs="Arial"/>
          <w:color w:val="000000"/>
          <w:sz w:val="22"/>
          <w:szCs w:val="22"/>
        </w:rPr>
        <w:t>So</w:t>
      </w:r>
      <w:proofErr w:type="gramEnd"/>
      <w:r>
        <w:rPr>
          <w:rFonts w:ascii="Arial" w:eastAsia="Arial" w:hAnsi="Arial" w:cs="Arial"/>
          <w:color w:val="000000"/>
          <w:sz w:val="22"/>
          <w:szCs w:val="22"/>
        </w:rPr>
        <w:t xml:space="preserve"> you need to elab</w:t>
      </w:r>
      <w:r>
        <w:rPr>
          <w:rFonts w:ascii="Arial" w:eastAsia="Arial" w:hAnsi="Arial" w:cs="Arial"/>
          <w:color w:val="000000"/>
          <w:sz w:val="22"/>
          <w:szCs w:val="22"/>
        </w:rPr>
        <w:t>orate more on what discrete states are. I think you could have a separate paragraph introducing them as a separate class of models that similarly accounts for the same patterns of data</w:t>
      </w:r>
    </w:p>
  </w:comment>
  <w:comment w:id="10" w:author="Jason Zhou" w:date="2019-03-24T15:47:00Z" w:initials="">
    <w:p w14:paraId="57268947" w14:textId="77777777" w:rsidR="00B114CA" w:rsidRDefault="00B114CA" w:rsidP="00B114CA">
      <w:pPr>
        <w:widowControl w:val="0"/>
        <w:pBdr>
          <w:top w:val="nil"/>
          <w:left w:val="nil"/>
          <w:bottom w:val="nil"/>
          <w:right w:val="nil"/>
          <w:between w:val="nil"/>
        </w:pBdr>
        <w:spacing w:line="240" w:lineRule="auto"/>
        <w:rPr>
          <w:rFonts w:ascii="Arial" w:eastAsia="Arial" w:hAnsi="Arial" w:cs="Arial"/>
          <w:color w:val="000000"/>
          <w:sz w:val="22"/>
          <w:szCs w:val="22"/>
        </w:rPr>
      </w:pPr>
      <w:proofErr w:type="spellStart"/>
      <w:r>
        <w:rPr>
          <w:rFonts w:ascii="Arial" w:eastAsia="Arial" w:hAnsi="Arial" w:cs="Arial"/>
          <w:color w:val="000000"/>
          <w:sz w:val="22"/>
          <w:szCs w:val="22"/>
        </w:rPr>
        <w:t>Starns</w:t>
      </w:r>
      <w:proofErr w:type="spellEnd"/>
      <w:r>
        <w:rPr>
          <w:rFonts w:ascii="Arial" w:eastAsia="Arial" w:hAnsi="Arial" w:cs="Arial"/>
          <w:color w:val="000000"/>
          <w:sz w:val="22"/>
          <w:szCs w:val="22"/>
        </w:rPr>
        <w:t xml:space="preserve"> et al. (2008) further built the case for continuous source memory by demonstrating that participants were able to provide source information for </w:t>
      </w:r>
      <w:proofErr w:type="spellStart"/>
      <w:r>
        <w:rPr>
          <w:rFonts w:ascii="Arial" w:eastAsia="Arial" w:hAnsi="Arial" w:cs="Arial"/>
          <w:color w:val="000000"/>
          <w:sz w:val="22"/>
          <w:szCs w:val="22"/>
        </w:rPr>
        <w:t>unrecognised</w:t>
      </w:r>
      <w:proofErr w:type="spellEnd"/>
      <w:r>
        <w:rPr>
          <w:rFonts w:ascii="Arial" w:eastAsia="Arial" w:hAnsi="Arial" w:cs="Arial"/>
          <w:color w:val="000000"/>
          <w:sz w:val="22"/>
          <w:szCs w:val="22"/>
        </w:rPr>
        <w:t xml:space="preserve"> items. This was subsequently challenged by the finding that this source memory disappeared when the source task was not presented for items which were not recognised (</w:t>
      </w:r>
      <w:proofErr w:type="spellStart"/>
      <w:r>
        <w:rPr>
          <w:rFonts w:ascii="Arial" w:eastAsia="Arial" w:hAnsi="Arial" w:cs="Arial"/>
          <w:color w:val="000000"/>
          <w:sz w:val="22"/>
          <w:szCs w:val="22"/>
        </w:rPr>
        <w:t>Malejka</w:t>
      </w:r>
      <w:proofErr w:type="spellEnd"/>
      <w:r>
        <w:rPr>
          <w:rFonts w:ascii="Arial" w:eastAsia="Arial" w:hAnsi="Arial" w:cs="Arial"/>
          <w:color w:val="000000"/>
          <w:sz w:val="22"/>
          <w:szCs w:val="22"/>
        </w:rPr>
        <w:t xml:space="preserve"> &amp; Broder, 2016). </w:t>
      </w:r>
      <w:proofErr w:type="gramStart"/>
      <w:r>
        <w:rPr>
          <w:rFonts w:ascii="Arial" w:eastAsia="Arial" w:hAnsi="Arial" w:cs="Arial"/>
          <w:color w:val="000000"/>
          <w:sz w:val="22"/>
          <w:szCs w:val="22"/>
        </w:rPr>
        <w:t>On the basis of</w:t>
      </w:r>
      <w:proofErr w:type="gramEnd"/>
      <w:r>
        <w:rPr>
          <w:rFonts w:ascii="Arial" w:eastAsia="Arial" w:hAnsi="Arial" w:cs="Arial"/>
          <w:color w:val="000000"/>
          <w:sz w:val="22"/>
          <w:szCs w:val="22"/>
        </w:rPr>
        <w:t xml:space="preserve"> this finding, </w:t>
      </w:r>
      <w:proofErr w:type="spellStart"/>
      <w:r>
        <w:rPr>
          <w:rFonts w:ascii="Arial" w:eastAsia="Arial" w:hAnsi="Arial" w:cs="Arial"/>
          <w:color w:val="000000"/>
          <w:sz w:val="22"/>
          <w:szCs w:val="22"/>
        </w:rPr>
        <w:t>Malejka</w:t>
      </w:r>
      <w:proofErr w:type="spellEnd"/>
      <w:r>
        <w:rPr>
          <w:rFonts w:ascii="Arial" w:eastAsia="Arial" w:hAnsi="Arial" w:cs="Arial"/>
          <w:color w:val="000000"/>
          <w:sz w:val="22"/>
          <w:szCs w:val="22"/>
        </w:rPr>
        <w:t xml:space="preserve"> and Broder (2016) argued that the initial effect was a result of implicit feedback and did not rule out threshold models.</w:t>
      </w:r>
    </w:p>
  </w:comment>
  <w:comment w:id="12" w:author="Adam Osth" w:date="2019-03-22T02:47:00Z" w:initials="">
    <w:p w14:paraId="71163070"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As discussed previously, you probably want to flesh out an example or two of how conclusions changed when these models were used. It doesn't have to be in this paragrap</w:t>
      </w:r>
      <w:r>
        <w:rPr>
          <w:rFonts w:ascii="Arial" w:eastAsia="Arial" w:hAnsi="Arial" w:cs="Arial"/>
          <w:color w:val="000000"/>
          <w:sz w:val="22"/>
          <w:szCs w:val="22"/>
        </w:rPr>
        <w:t>h but somewhere in the introduction.</w:t>
      </w:r>
    </w:p>
  </w:comment>
  <w:comment w:id="13" w:author="Adam Osth" w:date="2019-03-22T02:53:00Z" w:initials="">
    <w:p w14:paraId="7B4D376D"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proofErr w:type="gramStart"/>
      <w:r>
        <w:rPr>
          <w:rFonts w:ascii="Arial" w:eastAsia="Arial" w:hAnsi="Arial" w:cs="Arial"/>
          <w:color w:val="000000"/>
          <w:sz w:val="22"/>
          <w:szCs w:val="22"/>
        </w:rPr>
        <w:t>Definitely need</w:t>
      </w:r>
      <w:proofErr w:type="gramEnd"/>
      <w:r>
        <w:rPr>
          <w:rFonts w:ascii="Arial" w:eastAsia="Arial" w:hAnsi="Arial" w:cs="Arial"/>
          <w:color w:val="000000"/>
          <w:sz w:val="22"/>
          <w:szCs w:val="22"/>
        </w:rPr>
        <w:t xml:space="preserve"> some more elaboration here. I don't think this will mak</w:t>
      </w:r>
      <w:r>
        <w:rPr>
          <w:rFonts w:ascii="Arial" w:eastAsia="Arial" w:hAnsi="Arial" w:cs="Arial"/>
          <w:color w:val="000000"/>
          <w:sz w:val="22"/>
          <w:szCs w:val="22"/>
        </w:rPr>
        <w:t>e sense to most.</w:t>
      </w:r>
    </w:p>
    <w:p w14:paraId="5C54470F" w14:textId="77777777" w:rsidR="0062102E" w:rsidRDefault="0062102E">
      <w:pPr>
        <w:widowControl w:val="0"/>
        <w:pBdr>
          <w:top w:val="nil"/>
          <w:left w:val="nil"/>
          <w:bottom w:val="nil"/>
          <w:right w:val="nil"/>
          <w:between w:val="nil"/>
        </w:pBdr>
        <w:spacing w:line="240" w:lineRule="auto"/>
        <w:rPr>
          <w:rFonts w:ascii="Arial" w:eastAsia="Arial" w:hAnsi="Arial" w:cs="Arial"/>
          <w:color w:val="000000"/>
          <w:sz w:val="22"/>
          <w:szCs w:val="22"/>
        </w:rPr>
      </w:pPr>
    </w:p>
    <w:p w14:paraId="2836EB09" w14:textId="77777777" w:rsidR="0062102E" w:rsidRDefault="00A54FD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The key point is that a given drift rate produces a von Mises distribution without a heavy tail. But trial to trial variability in drift rate results in some with high drift rates (very narrow peaks) and some with very low drift rates (ve</w:t>
      </w:r>
      <w:r>
        <w:rPr>
          <w:rFonts w:ascii="Arial" w:eastAsia="Arial" w:hAnsi="Arial" w:cs="Arial"/>
          <w:color w:val="000000"/>
          <w:sz w:val="22"/>
          <w:szCs w:val="22"/>
        </w:rPr>
        <w:t xml:space="preserve">ry wide distributions) - averaging across these produces something that does not look like a von Mises, but instead a more gradually rising distribution. Can also make the link to </w:t>
      </w:r>
      <w:proofErr w:type="spellStart"/>
      <w:r>
        <w:rPr>
          <w:rFonts w:ascii="Arial" w:eastAsia="Arial" w:hAnsi="Arial" w:cs="Arial"/>
          <w:color w:val="000000"/>
          <w:sz w:val="22"/>
          <w:szCs w:val="22"/>
        </w:rPr>
        <w:t>doubley</w:t>
      </w:r>
      <w:proofErr w:type="spellEnd"/>
      <w:r>
        <w:rPr>
          <w:rFonts w:ascii="Arial" w:eastAsia="Arial" w:hAnsi="Arial" w:cs="Arial"/>
          <w:color w:val="000000"/>
          <w:sz w:val="22"/>
          <w:szCs w:val="22"/>
        </w:rPr>
        <w:t xml:space="preserve"> stochastic models like the variable precision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ACD739" w15:done="0"/>
  <w15:commentEx w15:paraId="46C96745" w15:done="0"/>
  <w15:commentEx w15:paraId="378B996F" w15:done="0"/>
  <w15:commentEx w15:paraId="018A093A" w15:done="0"/>
  <w15:commentEx w15:paraId="57268947" w15:done="0"/>
  <w15:commentEx w15:paraId="71163070" w15:done="0"/>
  <w15:commentEx w15:paraId="2836EB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ACD739" w16cid:durableId="204337D1"/>
  <w16cid:commentId w16cid:paraId="46C96745" w16cid:durableId="204337D2"/>
  <w16cid:commentId w16cid:paraId="378B996F" w16cid:durableId="204337D3"/>
  <w16cid:commentId w16cid:paraId="018A093A" w16cid:durableId="204337D4"/>
  <w16cid:commentId w16cid:paraId="57268947" w16cid:durableId="204337D5"/>
  <w16cid:commentId w16cid:paraId="71163070" w16cid:durableId="204337D6"/>
  <w16cid:commentId w16cid:paraId="2836EB09" w16cid:durableId="204337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E4DBE"/>
    <w:multiLevelType w:val="multilevel"/>
    <w:tmpl w:val="71345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167F86"/>
    <w:multiLevelType w:val="multilevel"/>
    <w:tmpl w:val="F462E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E"/>
    <w:rsid w:val="00025F10"/>
    <w:rsid w:val="0004575F"/>
    <w:rsid w:val="002E4567"/>
    <w:rsid w:val="003C47A5"/>
    <w:rsid w:val="006011DD"/>
    <w:rsid w:val="0062102E"/>
    <w:rsid w:val="00701FDB"/>
    <w:rsid w:val="00A54FD8"/>
    <w:rsid w:val="00B114CA"/>
    <w:rsid w:val="00BD0526"/>
    <w:rsid w:val="00DB09D5"/>
    <w:rsid w:val="00F30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B34B"/>
  <w15:docId w15:val="{9E70ED7E-D6BB-4D47-84D9-63A1A6BD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09D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9D5"/>
    <w:rPr>
      <w:rFonts w:ascii="Segoe UI" w:hAnsi="Segoe UI" w:cs="Segoe UI"/>
      <w:sz w:val="18"/>
      <w:szCs w:val="18"/>
    </w:rPr>
  </w:style>
  <w:style w:type="paragraph" w:styleId="ListParagraph">
    <w:name w:val="List Paragraph"/>
    <w:basedOn w:val="Normal"/>
    <w:uiPriority w:val="34"/>
    <w:qFormat/>
    <w:rsid w:val="00DB0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TotalTime>
  <Pages>16</Pages>
  <Words>3759</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Zhou</dc:creator>
  <cp:lastModifiedBy>Jason Zhou</cp:lastModifiedBy>
  <cp:revision>7</cp:revision>
  <dcterms:created xsi:type="dcterms:W3CDTF">2019-03-25T00:26:00Z</dcterms:created>
  <dcterms:modified xsi:type="dcterms:W3CDTF">2019-03-26T00:50:00Z</dcterms:modified>
</cp:coreProperties>
</file>