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8CEF" w14:textId="78B31C8B" w:rsidR="006E2760" w:rsidRDefault="00A4021E" w:rsidP="00164B62">
      <w:pPr>
        <w:ind w:firstLine="720"/>
      </w:pPr>
      <w:r>
        <w:t xml:space="preserve">Episodic memory describes memory for events, where an event is defined </w:t>
      </w:r>
      <w:r w:rsidR="00457875">
        <w:t>as</w:t>
      </w:r>
      <w:r>
        <w:t xml:space="preserve"> an item that occurred in </w:t>
      </w:r>
      <w:r w:rsidR="00457875">
        <w:t>some</w:t>
      </w:r>
      <w:r>
        <w:t xml:space="preserve"> context. </w:t>
      </w:r>
      <w:r w:rsidR="00457875">
        <w:t xml:space="preserve">To maintain a coherent record of events encountered, one must successfully store and retrieve information about the event, information about the context of that event, and the binding between the two. How events in episodic memory are bound to information about the context in which they occurred has been investigated using source memory tasks. In a source memory task, participants are typically shown some stimuli (e.g., words, shapes, or objects) which are presented along with contextual information (e.g., </w:t>
      </w:r>
      <w:commentRangeStart w:id="0"/>
      <w:r w:rsidR="00457875">
        <w:t>the voice of a speaker, location on a display</w:t>
      </w:r>
      <w:commentRangeEnd w:id="0"/>
      <w:r w:rsidR="00457875">
        <w:rPr>
          <w:rStyle w:val="CommentReference"/>
        </w:rPr>
        <w:commentReference w:id="0"/>
      </w:r>
      <w:r w:rsidR="00457875">
        <w:t xml:space="preserve">). When cued with the item </w:t>
      </w:r>
      <w:proofErr w:type="gramStart"/>
      <w:r w:rsidR="00457875">
        <w:t>at a later time</w:t>
      </w:r>
      <w:proofErr w:type="gramEnd"/>
      <w:r w:rsidR="00457875">
        <w:t>, participants are then asked to report the corresponding contextual information.</w:t>
      </w:r>
      <w:r w:rsidR="00164B62">
        <w:br/>
      </w:r>
      <w:r w:rsidR="00164B62">
        <w:tab/>
        <w:t xml:space="preserve">A key question in the source memory literature is whether the retrieval of source information is better characterized as a continuous or a discrete process. Models of source memory as a continuous process, based upon Signal Detection Theory (SDT), predict that </w:t>
      </w:r>
    </w:p>
    <w:p w14:paraId="64F0AE6B" w14:textId="41E890C6" w:rsidR="00D769AA" w:rsidRPr="006E2760" w:rsidRDefault="00D769AA" w:rsidP="00D769AA">
      <w:pPr>
        <w:pStyle w:val="Heading2"/>
        <w:ind w:firstLine="0"/>
      </w:pPr>
      <w:r>
        <w:t xml:space="preserve">Non-target Responding </w:t>
      </w:r>
    </w:p>
    <w:p w14:paraId="3C7CB291" w14:textId="0197727C" w:rsidR="00667F96" w:rsidRDefault="004A3EF5" w:rsidP="00D769AA">
      <w:r>
        <w:tab/>
        <w:t xml:space="preserve"> </w:t>
      </w:r>
      <w:r w:rsidR="00405C1D">
        <w:t xml:space="preserve">One potential source of error in a memory task involving multiple items, one of which is the target, is that participants </w:t>
      </w:r>
      <w:r w:rsidR="00E84818">
        <w:t>motivate their response based on</w:t>
      </w:r>
      <w:r w:rsidR="00405C1D">
        <w:t xml:space="preserve"> information for the wrong item </w:t>
      </w:r>
      <w:proofErr w:type="gramStart"/>
      <w:r w:rsidR="00405C1D">
        <w:t>i.e.</w:t>
      </w:r>
      <w:proofErr w:type="gramEnd"/>
      <w:r w:rsidR="00405C1D">
        <w:t xml:space="preserve"> a non-target. </w:t>
      </w:r>
      <w:r w:rsidR="00A5457D">
        <w:t xml:space="preserve">This tendency for swapping, transposing, or otherwise confusing the identity of items in memory has been observed in a wide array of memory tasks. In the paragraphs to follow, we give a broad review of different types of non-target responding in different memory tasks, and underscore commonalities that offer insight not only into similar </w:t>
      </w:r>
      <w:proofErr w:type="spellStart"/>
      <w:r w:rsidR="00A5457D">
        <w:t>behaviour</w:t>
      </w:r>
      <w:proofErr w:type="spellEnd"/>
      <w:r w:rsidR="00A5457D">
        <w:t xml:space="preserve"> in source memory tasks, but to the general structure of memory retrieval.</w:t>
      </w:r>
    </w:p>
    <w:p w14:paraId="70A155AC" w14:textId="6C91C2D0" w:rsidR="00A5457D" w:rsidRDefault="00A5457D" w:rsidP="00D769AA">
      <w:r>
        <w:tab/>
        <w:t xml:space="preserve">In serial recall tasks, where subjects must call lists of items in the sequence in which they are given, a classic finding is that subjects will shift, or </w:t>
      </w:r>
      <w:r>
        <w:rPr>
          <w:i/>
          <w:iCs/>
        </w:rPr>
        <w:t>transpose</w:t>
      </w:r>
      <w:r>
        <w:t>, the order of items in the list they output. “Locality constraint” (Page &amp; Norris, 1998).</w:t>
      </w:r>
    </w:p>
    <w:p w14:paraId="2EEB8758" w14:textId="7AE774BF" w:rsidR="00A5457D" w:rsidRDefault="00A5457D" w:rsidP="00D769AA">
      <w:r>
        <w:lastRenderedPageBreak/>
        <w:tab/>
        <w:t>Spatiotemporal transposition gradient (</w:t>
      </w:r>
      <w:proofErr w:type="spellStart"/>
      <w:r>
        <w:t>Renko</w:t>
      </w:r>
      <w:proofErr w:type="spellEnd"/>
      <w:r>
        <w:t xml:space="preserve">, </w:t>
      </w:r>
      <w:proofErr w:type="spellStart"/>
      <w:r>
        <w:t>oberauer</w:t>
      </w:r>
      <w:proofErr w:type="spellEnd"/>
      <w:r>
        <w:t xml:space="preserve">). Visual working memory, </w:t>
      </w:r>
      <w:proofErr w:type="spellStart"/>
      <w:r>
        <w:t>simulataneous</w:t>
      </w:r>
      <w:proofErr w:type="spellEnd"/>
      <w:r>
        <w:t xml:space="preserve"> presentation of </w:t>
      </w:r>
    </w:p>
    <w:p w14:paraId="1C76C697" w14:textId="6186032C" w:rsidR="00A5457D" w:rsidRDefault="00A5457D" w:rsidP="00D769AA">
      <w:r>
        <w:tab/>
        <w:t>In other visual working memory tasks, researchers have observed “swap errors” (Bays)</w:t>
      </w:r>
    </w:p>
    <w:p w14:paraId="4AE7AC1C" w14:textId="77777777" w:rsidR="00A5457D" w:rsidRDefault="00A5457D" w:rsidP="00D769AA"/>
    <w:p w14:paraId="6D349C4D" w14:textId="354C50A6" w:rsidR="00A5457D" w:rsidRDefault="00A5457D" w:rsidP="00D769AA">
      <w:r>
        <w:t>In cued recall, people make intrusion errors where pairs of items get mixed up with each other</w:t>
      </w:r>
    </w:p>
    <w:p w14:paraId="52AF1FC9" w14:textId="77777777" w:rsidR="00A5457D" w:rsidRPr="00A5457D" w:rsidRDefault="00A5457D" w:rsidP="00D769AA"/>
    <w:p w14:paraId="2BC68273" w14:textId="79873DEE" w:rsidR="00A5457D" w:rsidRDefault="00A5457D" w:rsidP="00D769AA"/>
    <w:p w14:paraId="29136F86" w14:textId="78378E07" w:rsidR="00036300" w:rsidRDefault="00036300" w:rsidP="00D769AA"/>
    <w:p w14:paraId="7A21CDFD" w14:textId="33D693D1" w:rsidR="004A3EF5" w:rsidRPr="00A5457D" w:rsidRDefault="004A3EF5" w:rsidP="00A5457D">
      <w:pPr>
        <w:rPr>
          <w:b/>
          <w:bCs/>
        </w:rPr>
      </w:pPr>
      <w:r>
        <w:t xml:space="preserve">In visual working memory tasks, participants make swap errors. In serial recall, people make transposition errors. In cued recall, people make intrusion responses. What is common across these forms of non-target responding is that the probability of a given non-target item driving a response is influenced by the feature of that item, specifically its similarity in some feature space to the target item. </w:t>
      </w:r>
      <w:r>
        <w:br/>
      </w:r>
      <w:r w:rsidR="00A5457D">
        <w:rPr>
          <w:b/>
          <w:bCs/>
        </w:rPr>
        <w:t>Mechanisms for Generating Non-target responses</w:t>
      </w:r>
    </w:p>
    <w:p w14:paraId="1454788F" w14:textId="07A1C4F8" w:rsidR="004A3EF5" w:rsidRDefault="004A3EF5" w:rsidP="00D769AA"/>
    <w:p w14:paraId="640E085A" w14:textId="4EB3F716" w:rsidR="004A3EF5" w:rsidRPr="00A5457D" w:rsidRDefault="00A5457D" w:rsidP="00D769AA">
      <w:pPr>
        <w:rPr>
          <w:b/>
          <w:bCs/>
        </w:rPr>
      </w:pPr>
      <w:r>
        <w:rPr>
          <w:b/>
          <w:bCs/>
        </w:rPr>
        <w:t>Models of Intrusions in Continuous-Outcome Tasks</w:t>
      </w:r>
    </w:p>
    <w:p w14:paraId="1B016864" w14:textId="282F5956" w:rsidR="0047737D" w:rsidRDefault="002F3C8C" w:rsidP="00181556">
      <w:pPr>
        <w:ind w:firstLine="720"/>
      </w:pPr>
      <w:r>
        <w:t>An influential model of responding in continuous-outcome tasks comes from work in the visual working memory literature</w:t>
      </w:r>
      <w:r w:rsidR="0047737D">
        <w:t xml:space="preserve">, where Zhang and Luck (2008) modelled memory for color stimuli as a probabilistic mixture of two components: </w:t>
      </w:r>
      <w:r w:rsidR="00BA0BD5">
        <w:t xml:space="preserve">1) a von Mises distribution of errors, centered on the identity of the target item in memory, and 2) a uniform distribution of guesses made when the target item is not in memory. </w:t>
      </w:r>
      <w:r w:rsidR="00884D09">
        <w:t xml:space="preserve">In addition to </w:t>
      </w:r>
      <w:r w:rsidR="00BA0BD5">
        <w:t>these two sources of error,</w:t>
      </w:r>
      <w:r w:rsidR="00884D09">
        <w:t xml:space="preserve"> Bays et al. (2009) introduced a third possible source of error: </w:t>
      </w:r>
      <w:r w:rsidR="004110F3">
        <w:t xml:space="preserve">a probability that participants report the color of a non-target item, which was represented in the model as additional von Mises distributions </w:t>
      </w:r>
      <w:r w:rsidR="004110F3">
        <w:lastRenderedPageBreak/>
        <w:t xml:space="preserve">centered on each of the color values of the non-target items in the study set. The theoretical importance of this model was that while the two-component Zhang and Luck (2008) model </w:t>
      </w:r>
    </w:p>
    <w:p w14:paraId="57221DF4" w14:textId="719CBFAC" w:rsidR="00C45737" w:rsidRDefault="00C45737" w:rsidP="00C45737">
      <w:pPr>
        <w:ind w:firstLine="720"/>
      </w:pPr>
    </w:p>
    <w:p w14:paraId="3A8DFBD0" w14:textId="5E5ED238" w:rsidR="00B96A04" w:rsidRDefault="002978EC" w:rsidP="00B96A04">
      <w:pPr>
        <w:ind w:firstLine="720"/>
      </w:pPr>
      <w:r>
        <w:t>Previous study of memory for location has found that errors were composed entirely of swap errors, with little evidence of guess responses (</w:t>
      </w:r>
      <w:proofErr w:type="spellStart"/>
      <w:r>
        <w:t>Rajsic</w:t>
      </w:r>
      <w:proofErr w:type="spellEnd"/>
      <w:r>
        <w:t xml:space="preserve"> &amp; Wilson, 2012, 2014; </w:t>
      </w:r>
      <w:proofErr w:type="spellStart"/>
      <w:r>
        <w:t>Pertzov</w:t>
      </w:r>
      <w:proofErr w:type="spellEnd"/>
      <w:r>
        <w:t xml:space="preserve"> et al., 2012). When intrusions between items in the source location task are accounted for in a similar way, the prior research would suggest that the contribution of uniform guesses should be similarly low, and that most errors should arise due to intrusions, or swap errors.</w:t>
      </w:r>
    </w:p>
    <w:p w14:paraId="76B39152" w14:textId="77777777" w:rsidR="00B96A04" w:rsidRDefault="00B96A04" w:rsidP="00B96A04">
      <w:pPr>
        <w:ind w:firstLine="720"/>
      </w:pPr>
    </w:p>
    <w:p w14:paraId="64FA44E9" w14:textId="62DE94C9" w:rsidR="00B96A04" w:rsidRDefault="00B96A04" w:rsidP="00B96A04">
      <w:r>
        <w:tab/>
        <w:t>Popov</w:t>
      </w:r>
      <w:r w:rsidR="007B2969">
        <w:t xml:space="preserve">, So and </w:t>
      </w:r>
      <w:proofErr w:type="spellStart"/>
      <w:r w:rsidR="007B2969">
        <w:t>Reder</w:t>
      </w:r>
      <w:proofErr w:type="spellEnd"/>
      <w:r w:rsidR="007B2969">
        <w:t xml:space="preserve"> (</w:t>
      </w:r>
      <w:commentRangeStart w:id="1"/>
      <w:r w:rsidR="007B2969">
        <w:t>2021</w:t>
      </w:r>
      <w:commentRangeEnd w:id="1"/>
      <w:r w:rsidR="00F13A3A">
        <w:rPr>
          <w:rStyle w:val="CommentReference"/>
        </w:rPr>
        <w:commentReference w:id="1"/>
      </w:r>
      <w:r w:rsidR="007B2969">
        <w:t xml:space="preserve">) found that </w:t>
      </w:r>
      <w:r w:rsidR="00CF2571">
        <w:t>participants make an error due to failing to retrieve a word-location binding, they do not respond with a random non-target. Instead, locations for items presented in closer serial order proximity were more likely than locations for items from further away</w:t>
      </w:r>
      <w:r w:rsidR="00181556">
        <w:t>. This effect of serial order, known as a temporal contiguity effect, has been extensively studied in free-recall paradigms</w:t>
      </w:r>
    </w:p>
    <w:p w14:paraId="0382FEDF" w14:textId="77777777" w:rsidR="00B96A04" w:rsidRDefault="00B96A04" w:rsidP="00B96A04"/>
    <w:p w14:paraId="5DAC9A28" w14:textId="59D8AB72" w:rsidR="00501E59" w:rsidRDefault="00501E59" w:rsidP="004A3EF5">
      <w:pPr>
        <w:ind w:firstLine="720"/>
      </w:pPr>
      <w:r>
        <w:br/>
      </w:r>
      <w:r>
        <w:br/>
      </w:r>
    </w:p>
    <w:p w14:paraId="1E7C61B4" w14:textId="77777777" w:rsidR="00501E59" w:rsidRDefault="00501E59" w:rsidP="00C45737">
      <w:pPr>
        <w:ind w:firstLine="720"/>
      </w:pPr>
    </w:p>
    <w:p w14:paraId="50DE0CC5" w14:textId="1B8BABD4" w:rsidR="002978EC" w:rsidRDefault="00866671" w:rsidP="00C45737">
      <w:pPr>
        <w:ind w:firstLine="720"/>
      </w:pPr>
      <w:r>
        <w:t xml:space="preserve">Another possibility is that swap errors instead reflect strategic guesses, such that in the absence of information about the target, people knowingly use information from a non-target to restrict the range of guesses (Pratte, 2019). In the first instance, the probability of a swap error should be sensitive to factors that increase the confusability of items, namely the similarity </w:t>
      </w:r>
      <w:r>
        <w:lastRenderedPageBreak/>
        <w:t xml:space="preserve">between the target and the non-target that intrudes. </w:t>
      </w:r>
      <w:r w:rsidR="002978EC">
        <w:br/>
      </w:r>
    </w:p>
    <w:p w14:paraId="67C3383C" w14:textId="7453CC02" w:rsidR="0047737D" w:rsidRDefault="0047737D" w:rsidP="0047737D">
      <w:pPr>
        <w:ind w:firstLine="720"/>
      </w:pPr>
      <w:r>
        <w:t>In this study, we extend this line of reasoning to consider what experimental factors affect the probability of a non-target generating an intrusion response. At a broad level, as similarity between two items in memory increases, so does confusability and the probability of an intrusion. Previous studies have examined the contribution of similarity in terms of temporal context</w:t>
      </w:r>
    </w:p>
    <w:p w14:paraId="6999D7C6" w14:textId="01210D50" w:rsidR="0047737D" w:rsidRDefault="0047737D" w:rsidP="000122E9">
      <w:r>
        <w:tab/>
        <w:t xml:space="preserve">With word stimuli, attributes of the words used, such as the semantic and orthographic similarity </w:t>
      </w:r>
    </w:p>
    <w:p w14:paraId="6D3A1FA8" w14:textId="7A1CBC2D" w:rsidR="0047737D" w:rsidRPr="000122E9" w:rsidRDefault="00C548D9" w:rsidP="000122E9">
      <w:r>
        <w:tab/>
        <w:t>Ultimately, our goal in introducing more sophisticated models of intrusion responding is to see to what extent the intrusion component mitigates, or even eliminates, estimations for the proportion of no-information uniform guessing.</w:t>
      </w:r>
      <w:r>
        <w:br/>
      </w:r>
      <w:r w:rsidR="0047737D">
        <w:tab/>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w:t>
      </w:r>
      <w:r w:rsidR="00D97925">
        <w:lastRenderedPageBreak/>
        <w:t xml:space="preserve">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2" w:name="_18qzotez331d"/>
      <w:bookmarkEnd w:id="2"/>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3" w:name="_xpawz2834hng"/>
      <w:bookmarkStart w:id="4" w:name="_p894letv0pt3"/>
      <w:bookmarkEnd w:id="3"/>
      <w:bookmarkEnd w:id="4"/>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w:t>
      </w:r>
      <w:r w:rsidR="000A078C">
        <w:lastRenderedPageBreak/>
        <w:t xml:space="preserve">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09B82CD9" w:rsidR="00E11FC8" w:rsidRDefault="00A102EA" w:rsidP="00A16862">
      <w:pPr>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E11FC8">
        <w:t xml:space="preserve">XX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4DF344C4" w14:textId="7FB1F383" w:rsidR="00A16862" w:rsidRDefault="00A16862" w:rsidP="00624F1B">
      <w:pPr>
        <w:ind w:firstLine="720"/>
      </w:pPr>
      <w:r>
        <w:t xml:space="preserve">In the simultaneous </w:t>
      </w:r>
      <w:r w:rsidR="00F251CB">
        <w:t>study</w:t>
      </w:r>
      <w:r>
        <w:t xml:space="preserve"> condition, participants were presented with the marker and the word simultaneously for </w:t>
      </w:r>
      <w:commentRangeStart w:id="5"/>
      <w:r>
        <w:t xml:space="preserve">1000 </w:t>
      </w:r>
      <w:proofErr w:type="spellStart"/>
      <w:r>
        <w:t>ms</w:t>
      </w:r>
      <w:commentRangeEnd w:id="5"/>
      <w:r>
        <w:rPr>
          <w:rStyle w:val="CommentReference"/>
        </w:rPr>
        <w:commentReference w:id="5"/>
      </w:r>
      <w:r>
        <w:t>.</w:t>
      </w:r>
      <w:proofErr w:type="spellEnd"/>
      <w:r>
        <w:t xml:space="preserve"> Instead of being positioning the word in the </w:t>
      </w:r>
      <w:proofErr w:type="spellStart"/>
      <w:r>
        <w:t>centre</w:t>
      </w:r>
      <w:proofErr w:type="spellEnd"/>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XX 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t>
      </w:r>
      <w:r>
        <w:lastRenderedPageBreak/>
        <w:t xml:space="preserve">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30E7284E"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E11FC8">
        <w:t>1</w:t>
      </w:r>
      <w:r>
        <w: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0089958C" w14:textId="1EBEEC89" w:rsidR="00A102EA" w:rsidRDefault="00A102EA" w:rsidP="00A102EA">
      <w:pPr>
        <w:pStyle w:val="Caption"/>
      </w:pPr>
      <w:r>
        <w:rPr>
          <w:i w:val="0"/>
          <w:color w:val="auto"/>
          <w:sz w:val="24"/>
          <w:szCs w:val="24"/>
        </w:rPr>
        <w:t xml:space="preserve">Figure </w:t>
      </w:r>
      <w:r w:rsidR="00E11FC8">
        <w:rPr>
          <w:i w:val="0"/>
          <w:color w:val="auto"/>
          <w:sz w:val="24"/>
          <w:szCs w:val="24"/>
        </w:rPr>
        <w:t>1</w:t>
      </w:r>
      <w:r>
        <w:rPr>
          <w:i w:val="0"/>
          <w:color w:val="auto"/>
          <w:sz w:val="24"/>
          <w:szCs w:val="24"/>
        </w:rPr>
        <w:t xml:space="preserve">. Schematic of display presented to the participant in one trial in each phase of the experiment. </w:t>
      </w:r>
      <w:bookmarkStart w:id="6" w:name="_sr9cuqhx14rq"/>
      <w:bookmarkEnd w:id="6"/>
    </w:p>
    <w:p w14:paraId="1C0A997D" w14:textId="4F108BC7" w:rsidR="00BF224C" w:rsidRDefault="00BF224C"/>
    <w:p w14:paraId="48CF36F8" w14:textId="1F3D927E" w:rsidR="000A078C" w:rsidRDefault="000A078C" w:rsidP="000A078C">
      <w:pPr>
        <w:pStyle w:val="Heading2"/>
        <w:ind w:firstLine="0"/>
      </w:pPr>
      <w:r>
        <w:lastRenderedPageBreak/>
        <w:t>Results</w:t>
      </w:r>
    </w:p>
    <w:p w14:paraId="1829B043" w14:textId="6FD88E58"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7"/>
      <w:r>
        <w:t>analyses</w:t>
      </w:r>
      <w:commentRangeEnd w:id="7"/>
      <w:r>
        <w:rPr>
          <w:rStyle w:val="CommentReference"/>
        </w:rPr>
        <w:commentReference w:id="7"/>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lastRenderedPageBreak/>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0122E9">
      <w:pPr>
        <w:pStyle w:val="NoSpacing"/>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0122E9">
      <w:pPr>
        <w:pStyle w:val="NoSpacing"/>
      </w:pPr>
    </w:p>
    <w:p w14:paraId="7C8C7557" w14:textId="58E92E49" w:rsidR="000122E9" w:rsidRDefault="000122E9" w:rsidP="000122E9">
      <w:pPr>
        <w:pStyle w:val="NoSpacing"/>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0122E9">
      <w:pPr>
        <w:pStyle w:val="NoSpacing"/>
      </w:pPr>
    </w:p>
    <w:p w14:paraId="120A5920" w14:textId="09AF62BE" w:rsidR="000122E9" w:rsidRPr="000122E9" w:rsidRDefault="000122E9" w:rsidP="000122E9">
      <w:pPr>
        <w:pStyle w:val="NoSpacing"/>
      </w:pPr>
      <w:r>
        <w:t xml:space="preserve"> Need for a process model, like racing diffusion models, to address this ambiguity.</w:t>
      </w:r>
    </w:p>
    <w:sectPr w:rsidR="000122E9" w:rsidRPr="00012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Zhou" w:date="2021-10-26T14:05:00Z" w:initials="JZ">
    <w:p w14:paraId="48FF30EE" w14:textId="70E63CFE" w:rsidR="00457875" w:rsidRDefault="00457875">
      <w:pPr>
        <w:pStyle w:val="CommentText"/>
      </w:pPr>
      <w:r>
        <w:rPr>
          <w:rStyle w:val="CommentReference"/>
        </w:rPr>
        <w:annotationRef/>
      </w:r>
      <w:r>
        <w:t>Have examples to cite</w:t>
      </w:r>
    </w:p>
  </w:comment>
  <w:comment w:id="1" w:author="Jason Zhou" w:date="2021-10-25T13:31:00Z" w:initials="JZ">
    <w:p w14:paraId="66F13D7A" w14:textId="6D7FB21B" w:rsidR="00F13A3A" w:rsidRDefault="00F13A3A">
      <w:pPr>
        <w:pStyle w:val="CommentText"/>
      </w:pPr>
      <w:r>
        <w:rPr>
          <w:rStyle w:val="CommentReference"/>
        </w:rPr>
        <w:annotationRef/>
      </w:r>
      <w:r>
        <w:t>Still seems to be under review</w:t>
      </w:r>
    </w:p>
  </w:comment>
  <w:comment w:id="5" w:author="Jason Zhou" w:date="2020-06-04T14:10:00Z" w:initials="JZ">
    <w:p w14:paraId="662067EB" w14:textId="19C447A2" w:rsidR="00A16862" w:rsidRDefault="00A16862">
      <w:pPr>
        <w:pStyle w:val="CommentText"/>
      </w:pPr>
      <w:r>
        <w:rPr>
          <w:rStyle w:val="CommentReference"/>
        </w:rPr>
        <w:annotationRef/>
      </w:r>
      <w:r>
        <w:t>I think this is what we have now as a default in the plugin, might need to be longer?</w:t>
      </w:r>
    </w:p>
  </w:comment>
  <w:comment w:id="7" w:author="Jason Zhou [2]" w:date="2021-09-26T13:41:00Z" w:initials="JZ">
    <w:p w14:paraId="7D9B4062" w14:textId="04BA082E" w:rsidR="000122E9" w:rsidRDefault="000122E9">
      <w:pPr>
        <w:pStyle w:val="CommentText"/>
      </w:pPr>
      <w:r>
        <w:rPr>
          <w:rStyle w:val="CommentReference"/>
        </w:rPr>
        <w:annotationRef/>
      </w:r>
      <w:r>
        <w:t>Some justification of small n probably needed here, cite Smith and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FF30EE" w15:done="0"/>
  <w15:commentEx w15:paraId="66F13D7A" w15:done="0"/>
  <w15:commentEx w15:paraId="662067EB"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89A8" w16cex:dateUtc="2021-10-26T03:05:00Z"/>
  <w16cex:commentExtensible w16cex:durableId="25213024" w16cex:dateUtc="2021-10-25T02:31:00Z"/>
  <w16cex:commentExtensible w16cex:durableId="22837F48" w16cex:dateUtc="2020-06-04T04:10: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FF30EE" w16cid:durableId="252289A8"/>
  <w16cid:commentId w16cid:paraId="66F13D7A" w16cid:durableId="25213024"/>
  <w16cid:commentId w16cid:paraId="662067EB" w16cid:durableId="22837F48"/>
  <w16cid:commentId w16cid:paraId="7D9B4062" w16cid:durableId="24FAF7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02EA"/>
    <w:rsid w:val="000122E9"/>
    <w:rsid w:val="00036300"/>
    <w:rsid w:val="000A078C"/>
    <w:rsid w:val="000F3BC1"/>
    <w:rsid w:val="00164B62"/>
    <w:rsid w:val="00181556"/>
    <w:rsid w:val="001A2F6A"/>
    <w:rsid w:val="001B59ED"/>
    <w:rsid w:val="002978EC"/>
    <w:rsid w:val="002F3C8C"/>
    <w:rsid w:val="003366BD"/>
    <w:rsid w:val="0035058F"/>
    <w:rsid w:val="003D6D9B"/>
    <w:rsid w:val="00405C1D"/>
    <w:rsid w:val="004110F3"/>
    <w:rsid w:val="00422C90"/>
    <w:rsid w:val="004244A4"/>
    <w:rsid w:val="00457875"/>
    <w:rsid w:val="0047737D"/>
    <w:rsid w:val="004A3EF5"/>
    <w:rsid w:val="00501E59"/>
    <w:rsid w:val="005F79E1"/>
    <w:rsid w:val="00624F1B"/>
    <w:rsid w:val="0065639F"/>
    <w:rsid w:val="00667F96"/>
    <w:rsid w:val="006B1265"/>
    <w:rsid w:val="006E2760"/>
    <w:rsid w:val="007B2969"/>
    <w:rsid w:val="00846B61"/>
    <w:rsid w:val="00856E58"/>
    <w:rsid w:val="00866671"/>
    <w:rsid w:val="00884D09"/>
    <w:rsid w:val="00976FAE"/>
    <w:rsid w:val="00A102EA"/>
    <w:rsid w:val="00A15F84"/>
    <w:rsid w:val="00A16862"/>
    <w:rsid w:val="00A4021E"/>
    <w:rsid w:val="00A4169E"/>
    <w:rsid w:val="00A5457D"/>
    <w:rsid w:val="00B21DB0"/>
    <w:rsid w:val="00B23A09"/>
    <w:rsid w:val="00B96A04"/>
    <w:rsid w:val="00BA0BD5"/>
    <w:rsid w:val="00BF224C"/>
    <w:rsid w:val="00C200E9"/>
    <w:rsid w:val="00C45737"/>
    <w:rsid w:val="00C548D9"/>
    <w:rsid w:val="00CF2571"/>
    <w:rsid w:val="00D27E85"/>
    <w:rsid w:val="00D769AA"/>
    <w:rsid w:val="00D97925"/>
    <w:rsid w:val="00E11FC8"/>
    <w:rsid w:val="00E84818"/>
    <w:rsid w:val="00F13A3A"/>
    <w:rsid w:val="00F251CB"/>
    <w:rsid w:val="00F71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F6CE12D8-AF23-4793-83FB-1F35BA61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A102EA"/>
    <w:pPr>
      <w:spacing w:after="200" w:line="240" w:lineRule="auto"/>
    </w:pPr>
    <w:rPr>
      <w:i/>
      <w:iCs/>
      <w:color w:val="1F497D"/>
      <w:sz w:val="18"/>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0CA50C-B48D-4B06-BAE4-8778C0DCFC0F}">
  <we:reference id="wa104382081" version="1.35.0.0" store="en-US" storeType="OMEX"/>
  <we:alternateReferences>
    <we:reference id="wa104382081" version="1.35.0.0" store="" storeType="OMEX"/>
  </we:alternateReferences>
  <we:properties>
    <we:property name="MENDELEY_CITATIONS" value="[{&quot;citationID&quot;:&quot;MENDELEY_CITATION_ab733416-3b00-43ae-a118-d96fc5d916d2&quot;,&quot;citationItems&quot;:[{&quot;id&quot;:&quot;612c25d3-f70c-3d63-b9b8-25a7c7439fab&quot;,&quot;itemData&quot;:{&quot;type&quot;:&quot;article-journal&quot;,&quot;id&quot;:&quot;612c25d3-f70c-3d63-b9b8-25a7c7439fab&quot;,&quot;title&quot;:&quot;Semantic similarity between old and new items produces false alarms in recognition memory&quot;,&quot;author&quot;:[{&quot;family&quot;:&quot;Montefinese&quot;,&quot;given&quot;:&quot;Maria&quot;,&quot;parse-names&quot;:false,&quot;dropping-particle&quot;:&quot;&quot;,&quot;non-dropping-particle&quot;:&quot;&quot;},{&quot;family&quot;:&quot;Zannino&quot;,&quot;given&quot;:&quot;Gian Daniele&quot;,&quot;parse-names&quot;:false,&quot;dropping-particle&quot;:&quot;&quot;,&quot;non-dropping-particle&quot;:&quot;&quot;},{&quot;family&quot;:&quot;Ambrosini&quot;,&quot;given&quot;:&quot;Ettore&quot;,&quot;parse-names&quot;:false,&quot;dropping-particle&quot;:&quot;&quot;,&quot;non-dropping-particle&quot;:&quot;&quot;}],&quot;container-title&quot;:&quot;Psychological Research&quot;,&quot;DOI&quot;:&quot;10.1007/s00426-014-0615-z&quot;,&quot;ISSN&quot;:&quot;14302772&quot;,&quot;PMID&quot;:&quot;25267547&quot;,&quot;issued&quot;:{&quot;date-parts&quot;:[[2015,9,14]]},&quot;page&quot;:&quot;785-794&quot;,&quot;abstract&quot;:&quot;In everyday life, human beings can report memories of past events that did not occur or that occurred differently from the way they remember them because memory is an imperfect process of reconstruction and is prone to distortion and errors. In this recognition study using word stimuli, we investigated whether a specific operationalization of semantic similarity among concepts can modulate false memories while controlling for the possible effect of associative strength and word co-occurrence in an old–new recognition task. The semantic similarity value of each new concept was calculated as the mean cosine similarity between pairs of vectors representing that new concept and each old concept belonging to the same semantic category. Results showed that, compared with (new) low-similarity concepts, (new) high-similarity concepts had significantly higher probability of being falsely recognized as old, even after partialling out the effect of confounding variables, including associative relatedness and lexical co-occurrence. This finding supports the feature-based view of semantic memory, suggesting that meaning overlap and sharing of semantic features (which are greater when more similar semantic concepts are being processed) have an influence on recognition performance, resulting in more false alarms for new high-similarity concepts. We propose that the associative strength and word co-occurrence among concepts are not sufficient to explain illusory memories but is important to take into account also the effects of feature-based semantic relations, and, in particular, the semantic similarity among concepts.&quot;,&quot;publisher&quot;:&quot;Springer Verlag&quot;,&quot;issue&quot;:&quot;5&quot;,&quot;volume&quot;:&quot;79&quot;},&quot;isTemporary&quot;:false}],&quot;properties&quot;:{&quot;noteIndex&quot;:0},&quot;isEdited&quot;:false,&quot;manualOverride&quot;:{&quot;isManuallyOverridden&quot;:false,&quot;citeprocText&quot;:&quot;(Montefinese et al., 2015)&quot;,&quot;manualOverrideText&quot;:&quot;&quot;},&quot;citationTag&quot;:&quot;MENDELEY_CITATION_v3_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28829</TotalTime>
  <Pages>9</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2020-06-04T03:44:00Z</dcterms:created>
  <dcterms:modified xsi:type="dcterms:W3CDTF">2021-11-15T03:10:00Z</dcterms:modified>
</cp:coreProperties>
</file>