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EF8" w14:textId="68F802FB" w:rsidR="00CD3AB8" w:rsidRDefault="003958DA" w:rsidP="00CD3AB8">
      <w:pPr>
        <w:ind w:firstLine="720"/>
      </w:pPr>
      <w:r>
        <w:t xml:space="preserve">When we recall a past experience,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(Yonelinas, 1999; Slotnick &amp; Dodson, 2005; Hautus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r w:rsidR="00DF3B50">
        <w:t>Mickes</w:t>
      </w:r>
      <w:r w:rsidR="00BF0316">
        <w:t xml:space="preserve"> et al.</w:t>
      </w:r>
      <w:r w:rsidR="00DF3B50">
        <w:t xml:space="preserve">, 2009). In contrast, threshold or discrete-state models assume that </w:t>
      </w:r>
      <w:r w:rsidR="00FC4E0F">
        <w:t xml:space="preserve">memory strength for an item must reach a certain threshold in order for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0" w:name="_Hlk39517787"/>
      <w:r w:rsidR="006C49FF">
        <w:t>Batchelder &amp; Riefer, 1990</w:t>
      </w:r>
      <w:bookmarkEnd w:id="0"/>
      <w:r w:rsidR="006C49FF">
        <w:t xml:space="preserve">; </w:t>
      </w:r>
      <w:bookmarkStart w:id="1" w:name="_Hlk39517791"/>
      <w:r w:rsidR="006C49FF">
        <w:t>Klauer &amp; Kellen, 2010</w:t>
      </w:r>
      <w:bookmarkEnd w:id="1"/>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 xml:space="preserve">(Mander, 1980). </w:t>
      </w:r>
      <w:r w:rsidR="00682D09">
        <w:t>Specifically</w:t>
      </w:r>
      <w:r w:rsidR="0087325F">
        <w:t xml:space="preserve">, </w:t>
      </w:r>
      <w:r w:rsidR="00BF0316">
        <w:t xml:space="preserve">the two processes in </w:t>
      </w:r>
      <w:r w:rsidR="0087325F">
        <w:t xml:space="preserve">the </w:t>
      </w:r>
      <w:r w:rsidR="00BF0316">
        <w:t>influential Y</w:t>
      </w:r>
      <w:r w:rsidR="0087325F">
        <w:t>onelinas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r w:rsidR="00682D09">
        <w:lastRenderedPageBreak/>
        <w:t>thresholded</w:t>
      </w:r>
      <w:r w:rsidR="00BF0316">
        <w:t>.</w:t>
      </w:r>
      <w:r w:rsidR="00682D09">
        <w:t xml:space="preserve"> </w:t>
      </w:r>
      <w:r w:rsidR="002858AF">
        <w:t xml:space="preserve">Successful recollection or familiarity can both contribute to recognition, because familiarity can distinguish between a studied and an unstudied item. On the other hand, familiarity does not distinguish between two items from different sources, which are both studied, and so the Yonelinas (1999) dual-process model predicts that source judgements should be thresholded as they can only be driven by recollection. </w:t>
      </w:r>
      <w:r w:rsidR="00EB7BDD">
        <w:t>This dual-process view of memory retrieval holds only if recollection, and therefore source memor</w:t>
      </w:r>
      <w:r w:rsidR="00E96738">
        <w:t>y performance</w:t>
      </w:r>
      <w:r w:rsidR="00EB7BDD">
        <w:t>, can be characterized as a thresholded process.</w:t>
      </w:r>
      <w:r w:rsidR="00CD3AB8">
        <w:t xml:space="preserve"> </w:t>
      </w:r>
      <w:r w:rsidR="00A4336A">
        <w:t>Existing research which attempted</w:t>
      </w:r>
      <w:r w:rsidR="00064CA3">
        <w:t xml:space="preserve"> to distinguish between continuous and thresholded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(Yonelinas, 1999; Slotnick &amp; Dodson, 2005). Although </w:t>
      </w:r>
      <w:r w:rsidR="00A4336A">
        <w:t xml:space="preserve">the </w:t>
      </w:r>
      <w:r w:rsidR="00045DC9">
        <w:t xml:space="preserve">predicted </w:t>
      </w:r>
      <w:r w:rsidR="00A4336A">
        <w:t xml:space="preserve">shape of these curves were </w:t>
      </w:r>
      <w:r w:rsidR="00045DC9">
        <w:t xml:space="preserve">initially </w:t>
      </w:r>
      <w:r w:rsidR="00A4336A">
        <w:t xml:space="preserve">thought to distinguish between continuous and thresholded </w:t>
      </w:r>
      <w:r w:rsidR="00045DC9">
        <w:t xml:space="preserve">models, subsequent work </w:t>
      </w:r>
      <w:r w:rsidR="001E52A7">
        <w:t>found</w:t>
      </w:r>
      <w:r w:rsidR="00045DC9">
        <w:t xml:space="preserve"> numerous conditions under which the models</w:t>
      </w:r>
      <w:r w:rsidR="001E52A7">
        <w:t xml:space="preserve"> </w:t>
      </w:r>
      <w:r w:rsidR="00045DC9">
        <w:t>mimic each other (Yonelinas &amp; Parks</w:t>
      </w:r>
      <w:r w:rsidR="001E52A7">
        <w:t>, 2007</w:t>
      </w:r>
      <w:r w:rsidR="00045DC9">
        <w:t>; Klauer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2178D8B7"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the existence of a discrete subthreshold </w:t>
      </w:r>
      <w:r w:rsidR="00CD3AB8">
        <w:lastRenderedPageBreak/>
        <w:t xml:space="preserve">guessing state, the 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13AFD884" w14:textId="62D8F9FA" w:rsidR="0010500A" w:rsidRDefault="002741AA" w:rsidP="00536AA2">
      <w:pPr>
        <w:ind w:firstLine="720"/>
      </w:pPr>
      <w:r>
        <w:t xml:space="preserve"> </w:t>
      </w:r>
      <w:r w:rsidR="00AF5BA7">
        <w:t>Applying a similar approach to source memory modelling,</w:t>
      </w:r>
      <w:r w:rsidR="00B36472">
        <w:t xml:space="preserve"> </w:t>
      </w:r>
      <w:r w:rsidR="00B36CC3">
        <w:t>Harlow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The authors found that a mixture model consisting of a wrapped Cauchy and a uniform component was preferred over a pure wrapped Cauchy model, which was interpreted as evidence for a thresholded retrieval process which yields uniform guesses when memory strength is subthreshold (Harlow &amp; Donaldson, 2013).</w:t>
      </w:r>
      <w:r w:rsidR="00F45C52">
        <w:t xml:space="preserve"> </w:t>
      </w:r>
      <w:r w:rsidR="00536AA2">
        <w:t>In summary, b</w:t>
      </w:r>
      <w:r w:rsidR="005345B5">
        <w:t xml:space="preserve">oth the Zhang and Luck (2008) and the Harlow and Donaldson (2013) </w:t>
      </w:r>
      <w:r w:rsidR="00536AA2">
        <w:t>analyses</w:t>
      </w:r>
      <w:r w:rsidR="005345B5">
        <w:t xml:space="preserve"> attribute </w:t>
      </w:r>
      <w:r w:rsidR="00830960">
        <w:t xml:space="preserve">observers’ </w:t>
      </w:r>
      <w:r w:rsidR="00536AA2">
        <w:t>response error</w:t>
      </w:r>
      <w:r w:rsidR="005345B5">
        <w:t xml:space="preserve"> to two sources</w:t>
      </w:r>
      <w:r w:rsidR="00FC5714">
        <w:t xml:space="preserve"> in memory</w:t>
      </w:r>
      <w:r w:rsidR="005345B5">
        <w:t xml:space="preserve">: 1) </w:t>
      </w:r>
      <w:r w:rsidR="00536AA2">
        <w:t xml:space="preserve">variability in memory precision and 2) the possibility that </w:t>
      </w:r>
      <w:r w:rsidR="00FC5714">
        <w:t>memory is absent and the</w:t>
      </w:r>
      <w:r w:rsidR="00536AA2">
        <w:t xml:space="preserve"> response is a guess. </w:t>
      </w:r>
      <w:r w:rsidR="005345B5">
        <w:t xml:space="preserve">A </w:t>
      </w:r>
      <w:r w:rsidR="00830960">
        <w:t>further</w:t>
      </w:r>
      <w:r w:rsidR="005345B5">
        <w:t xml:space="preserve"> insight from the continuous-outcome VWM literature that </w:t>
      </w:r>
      <w:r w:rsidR="00795979">
        <w:t>is relevant to our interest in</w:t>
      </w:r>
      <w:r w:rsidR="005345B5">
        <w:t xml:space="preserve"> source memory is that</w:t>
      </w:r>
      <w:r w:rsidR="00536AA2">
        <w:t xml:space="preserve"> there is another source of error to be considered: the possibility </w:t>
      </w:r>
      <w:r w:rsidR="00830960">
        <w:t>that the observer responds with information about a different item than the one probed</w:t>
      </w:r>
      <w:r w:rsidR="008D438A">
        <w:t xml:space="preserve">, referred to as a </w:t>
      </w:r>
      <w:r w:rsidR="008D438A">
        <w:rPr>
          <w:i/>
          <w:iCs/>
        </w:rPr>
        <w:t>non-target</w:t>
      </w:r>
      <w:r w:rsidR="008D438A">
        <w:t xml:space="preserve"> response (Bays, 2016)</w:t>
      </w:r>
      <w:r w:rsidR="00830960">
        <w:t xml:space="preserve">. </w:t>
      </w:r>
    </w:p>
    <w:p w14:paraId="16F76E02" w14:textId="7EEB2908" w:rsidR="00C22DA6" w:rsidRDefault="00D769AA" w:rsidP="00845FB8">
      <w:pPr>
        <w:pStyle w:val="Heading2"/>
        <w:ind w:firstLine="0"/>
      </w:pPr>
      <w:r>
        <w:lastRenderedPageBreak/>
        <w:t xml:space="preserve">Non-target Responding </w:t>
      </w:r>
      <w:r w:rsidR="000F7F6D">
        <w:t xml:space="preserve"> </w:t>
      </w:r>
    </w:p>
    <w:p w14:paraId="1BD9A70E" w14:textId="77777777" w:rsidR="00197896" w:rsidRDefault="005445D1" w:rsidP="00454E54">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various terms including </w:t>
      </w:r>
      <w:r w:rsidR="00845FB8">
        <w:rPr>
          <w:i/>
          <w:iCs/>
        </w:rPr>
        <w:t xml:space="preserve">binding, transposition, intrusion, </w:t>
      </w:r>
      <w:r w:rsidR="00845FB8">
        <w:t xml:space="preserve">and </w:t>
      </w:r>
      <w:r w:rsidR="00845FB8">
        <w:rPr>
          <w:i/>
          <w:iCs/>
        </w:rPr>
        <w:t>swap errors</w:t>
      </w:r>
      <w:r w:rsidR="00845FB8">
        <w:t>, each reflectin</w:t>
      </w:r>
      <w:r w:rsidR="0085389E">
        <w:t>g</w:t>
      </w:r>
      <w:r w:rsidR="00845FB8">
        <w:t xml:space="preserve"> specific </w:t>
      </w:r>
      <w:r w:rsidR="0085389E">
        <w:t xml:space="preserve">properties of the </w:t>
      </w:r>
      <w:r w:rsidR="00845FB8">
        <w:t>tasks used to study the phenomenon (Bays, 2016).</w:t>
      </w:r>
      <w:r w:rsidR="0085389E">
        <w:t xml:space="preserve"> </w:t>
      </w:r>
      <w:r w:rsidR="00197896">
        <w:t>The key distinction between a guess and an intrusion response is that a guess is generated in the total absence of information, while a non-target response is motivated by information for the wrong item</w:t>
      </w:r>
      <w:r w:rsidR="00197896">
        <w:t xml:space="preserve">. </w:t>
      </w:r>
      <w:r w:rsidR="00197896">
        <w:t xml:space="preserve">In this study, we consider to what extent the inclusion of a process for intrusion responses attenuates, or even eliminates, the need to invoke a uniform guessing process to account for error patterns in source memory and by extension, the theoretical justification for a thresholded model of source memory retrieval. </w:t>
      </w:r>
    </w:p>
    <w:p w14:paraId="00E7B939" w14:textId="77777777" w:rsidR="000F4C88" w:rsidRDefault="006C7D4A" w:rsidP="00724BCA">
      <w:pPr>
        <w:ind w:firstLine="720"/>
      </w:pPr>
      <w:r>
        <w:t xml:space="preserve">Most </w:t>
      </w:r>
      <w:r w:rsidR="009F43EF">
        <w:t>explanations</w:t>
      </w:r>
      <w:r w:rsidR="00197896">
        <w:t xml:space="preserve"> of non-target responding</w:t>
      </w:r>
      <w:r w:rsidR="009F43EF">
        <w:t xml:space="preserve"> attribute</w:t>
      </w:r>
      <w:r>
        <w:t xml:space="preserve"> </w:t>
      </w:r>
      <w:r w:rsidR="00197896">
        <w:t xml:space="preserve">the phenomenon </w:t>
      </w:r>
      <w:r w:rsidR="009F43EF">
        <w:t>to confusion between items that are similar in one or more domain (</w:t>
      </w:r>
      <w:r w:rsidR="00073F02">
        <w:t xml:space="preserve">Rerko et al., 2014; </w:t>
      </w:r>
      <w:r w:rsidR="00EF0B1A">
        <w:t xml:space="preserve">Bays, 2016; </w:t>
      </w:r>
      <w:r w:rsidR="00073F02">
        <w:t>Oberauer &amp; Lin, 2017</w:t>
      </w:r>
      <w:r w:rsidR="00EF0B1A">
        <w:t>;</w:t>
      </w:r>
      <w:r w:rsidR="00073F02">
        <w:t xml:space="preserve"> </w:t>
      </w:r>
      <w:r w:rsidR="009F43EF">
        <w:t>but see Pratte, 2018</w:t>
      </w:r>
      <w:r w:rsidR="00EF0B1A">
        <w:t xml:space="preserve"> for an alternative explanatio</w:t>
      </w:r>
      <w:r w:rsidR="00BE415E">
        <w:t>n</w:t>
      </w:r>
      <w:r w:rsidR="00EF0B1A">
        <w:t>)</w:t>
      </w:r>
      <w:r w:rsidR="00454E54">
        <w:t xml:space="preserve">. </w:t>
      </w:r>
      <w:r w:rsidR="00197896">
        <w:t xml:space="preserve">In the </w:t>
      </w:r>
      <w:r w:rsidR="00BF5CB5">
        <w:t>experimental paradigm we use to study source memory</w:t>
      </w:r>
      <w:r w:rsidR="00197896">
        <w:t xml:space="preserve"> (lists of words presented in space)</w:t>
      </w:r>
      <w:r w:rsidR="00BF5CB5">
        <w:t xml:space="preserve">, items may be similar in </w:t>
      </w:r>
      <w:r w:rsidR="00724BCA">
        <w:t>several</w:t>
      </w:r>
      <w:r w:rsidR="00BF5CB5">
        <w:t xml:space="preserve"> ways, including the position </w:t>
      </w:r>
      <w:r w:rsidR="00724BCA">
        <w:t xml:space="preserve">of items </w:t>
      </w:r>
      <w:r w:rsidR="00BF5CB5">
        <w:t xml:space="preserve">in the study list i.e., the temporal similarity of the presentation of items, the spatial similarity in the location of the items, </w:t>
      </w:r>
      <w:r w:rsidR="00724BCA">
        <w:t>as well as features of the words used as stimuli such as their semantic and orthographic similarity. Here, we give a brief review of work which has investigated the effect of these different forms of similarity affect performance in a range of tasks.</w:t>
      </w:r>
    </w:p>
    <w:p w14:paraId="36CDCAD6" w14:textId="6C8A5A81" w:rsidR="00197896" w:rsidRDefault="000F4C88" w:rsidP="000F4C88">
      <w:pPr>
        <w:pStyle w:val="Heading3"/>
      </w:pPr>
      <w:r>
        <w:t>Temporal Contiguity</w:t>
      </w:r>
      <w:r w:rsidR="00197896">
        <w:tab/>
      </w:r>
    </w:p>
    <w:p w14:paraId="47444D12" w14:textId="4EACC40C" w:rsidR="000F4C88" w:rsidRDefault="00197896" w:rsidP="000F4C88">
      <w:pPr>
        <w:ind w:firstLine="720"/>
      </w:pPr>
      <w:r>
        <w:t xml:space="preserve">In serial recall tasks, where subjects must call lists of items in the sequence in which they are given, a classic finding is </w:t>
      </w:r>
      <w:r w:rsidR="00CD78D3">
        <w:t xml:space="preserve">that incorrect responses tend to be items studied near the target in </w:t>
      </w:r>
      <w:r w:rsidR="00CD78D3">
        <w:lastRenderedPageBreak/>
        <w:t>the study sequence</w:t>
      </w:r>
      <w:r w:rsidR="00E9077B">
        <w:t xml:space="preserve"> </w:t>
      </w:r>
      <w:commentRangeStart w:id="2"/>
      <w:r w:rsidR="00CD78D3">
        <w:t>(Lee &amp; Estes, 1977).</w:t>
      </w:r>
      <w:r>
        <w:t xml:space="preserve"> </w:t>
      </w:r>
      <w:commentRangeEnd w:id="2"/>
      <w:r w:rsidR="000F4C88">
        <w:rPr>
          <w:rStyle w:val="CommentReference"/>
        </w:rPr>
        <w:commentReference w:id="2"/>
      </w:r>
      <w:r w:rsidR="00684EFC">
        <w:t xml:space="preserve">A </w:t>
      </w:r>
      <w:r w:rsidR="000A44C7">
        <w:t>similar</w:t>
      </w:r>
      <w:r w:rsidR="00684EFC">
        <w:t xml:space="preserve"> effect of serial order has been observed i</w:t>
      </w:r>
      <w:r w:rsidR="00CD78D3">
        <w:t>n free recall tasks</w:t>
      </w:r>
      <w:r w:rsidR="00684EFC">
        <w:t>:</w:t>
      </w:r>
      <w:r w:rsidR="00CD78D3">
        <w:t xml:space="preserve"> </w:t>
      </w:r>
      <w:r w:rsidR="00684EFC">
        <w:t xml:space="preserve">when participants are asked to recall a list of items in any sequence, Kahana (1996) demonstrated that </w:t>
      </w:r>
      <w:r w:rsidR="00FA2F0B">
        <w:t>after recalling a given item, the next item to be recalled tends to be a neighboring item in the study sequence</w:t>
      </w:r>
      <w:r w:rsidR="00837A33">
        <w:t>. Additionally</w:t>
      </w:r>
      <w:r w:rsidR="00425F1B">
        <w:t>, neighbors in the forwards direction were more likely to follow and item than backwards neighbors</w:t>
      </w:r>
      <w:r w:rsidR="00837A33">
        <w:t>, referred to as forward asymmetry (Kahana, 1996</w:t>
      </w:r>
      <w:r w:rsidR="00F86BFC">
        <w:t>)</w:t>
      </w:r>
      <w:r w:rsidR="00F40860">
        <w:t xml:space="preserve">. While presentation order has different effects on serial and free recall tasks (in the former, recalling neighbors is a type of error, while in the latter it can facilitate successful recall of lists), these examples illustrate the principle of </w:t>
      </w:r>
      <w:r w:rsidR="00F40860">
        <w:rPr>
          <w:i/>
          <w:iCs/>
        </w:rPr>
        <w:t>temporal contiguity</w:t>
      </w:r>
      <w:r w:rsidR="00F40860">
        <w:t xml:space="preserve">, </w:t>
      </w:r>
      <w:r w:rsidR="00822C82">
        <w:t>that is that events that occur close in time become associated with each other</w:t>
      </w:r>
      <w:r w:rsidR="000F4C88">
        <w:t xml:space="preserve"> </w:t>
      </w:r>
      <w:r w:rsidR="000F4C88">
        <w:t>(for a</w:t>
      </w:r>
      <w:r w:rsidR="000F4C88">
        <w:t xml:space="preserve"> review concerning the temporal contiguity effect in free recall</w:t>
      </w:r>
      <w:r w:rsidR="000F4C88">
        <w:t>, see Healey et al., 2018)</w:t>
      </w:r>
      <w:r w:rsidR="000F4C88">
        <w:t>.</w:t>
      </w:r>
    </w:p>
    <w:p w14:paraId="6FB34857" w14:textId="6AD497DF" w:rsidR="008702AA" w:rsidRDefault="00E9077B" w:rsidP="008702AA">
      <w:pPr>
        <w:ind w:firstLine="720"/>
      </w:pPr>
      <w:r>
        <w:t xml:space="preserve">In the most proximal </w:t>
      </w:r>
      <w:r>
        <w:br/>
      </w:r>
      <w:r w:rsidR="000F4C88">
        <w:t xml:space="preserve">Popov, So and Reder (2021) found that participants make an error due to failing to retrieve a word-location binding, they do not respond with a random non-target. Instead, locations for items presented in closer serial order proximity were more likely than locations for items from further away. </w:t>
      </w:r>
    </w:p>
    <w:p w14:paraId="78D32E29" w14:textId="39ED9F8E" w:rsidR="008702AA" w:rsidRDefault="008702AA" w:rsidP="008702AA">
      <w:pPr>
        <w:ind w:firstLine="720"/>
      </w:pPr>
      <w:r>
        <w:t>While estimated using free parameters, observe a pattern akin to the contiguity effect. We aim to systematically model this effect of serial position with a temporal similarity confusability account.</w:t>
      </w:r>
    </w:p>
    <w:p w14:paraId="1AAB5D94" w14:textId="77777777" w:rsidR="008702AA" w:rsidRDefault="008702AA" w:rsidP="008702AA"/>
    <w:p w14:paraId="7006F9FA" w14:textId="33C5C148" w:rsidR="008702AA" w:rsidRPr="008702AA" w:rsidRDefault="008702AA" w:rsidP="008702AA">
      <w:pPr>
        <w:pStyle w:val="Heading3"/>
      </w:pPr>
      <w:r>
        <w:t>Spatial Contiguity</w:t>
      </w:r>
    </w:p>
    <w:p w14:paraId="2EB32986" w14:textId="3C1921C8" w:rsidR="00C22DA6" w:rsidRPr="000F4C88" w:rsidRDefault="00822C82" w:rsidP="000F4C88">
      <w:pPr>
        <w:ind w:firstLine="720"/>
        <w:rPr>
          <w:i/>
          <w:iCs/>
        </w:rPr>
      </w:pPr>
      <w:r>
        <w:t>.</w:t>
      </w:r>
      <w:r w:rsidR="00F40860">
        <w:t xml:space="preserve"> </w:t>
      </w:r>
    </w:p>
    <w:p w14:paraId="60446805" w14:textId="3314F0B9" w:rsidR="00C22DA6" w:rsidRDefault="00C22DA6" w:rsidP="00D769AA">
      <w:r>
        <w:t>Bays (2016) items closest in spatial proximity are swapped.</w:t>
      </w:r>
    </w:p>
    <w:p w14:paraId="31337777" w14:textId="77777777" w:rsidR="00D679D5" w:rsidRDefault="00D679D5" w:rsidP="00D769AA"/>
    <w:p w14:paraId="7B315DDF" w14:textId="77777777" w:rsidR="00F65512" w:rsidRDefault="00F65512" w:rsidP="00D769AA"/>
    <w:p w14:paraId="2EEB8758" w14:textId="7AE774BF" w:rsidR="00A5457D" w:rsidRDefault="00A5457D" w:rsidP="00D769AA">
      <w:r>
        <w:tab/>
        <w:t xml:space="preserve">Spatiotemporal transposition gradient (Renko, oberauer). Visual working memory, simulataneous presentation of </w:t>
      </w:r>
    </w:p>
    <w:p w14:paraId="57221DF4" w14:textId="719CBFAC" w:rsidR="00C45737" w:rsidRDefault="00C45737" w:rsidP="008D438A"/>
    <w:p w14:paraId="1E7C61B4" w14:textId="02C089D8" w:rsidR="00501E59" w:rsidRDefault="002978EC" w:rsidP="00C45737">
      <w:pPr>
        <w:ind w:firstLine="720"/>
      </w:pPr>
      <w:r>
        <w:t xml:space="preserve">Previous study of memory for </w:t>
      </w:r>
      <w:r w:rsidR="00E9077B">
        <w:t xml:space="preserve">spatial </w:t>
      </w:r>
      <w:r>
        <w:t>location has found that errors were composed entirely of swap errors, with little evidence of guess responses (Rajsic &amp; Wilson, 2012, 2014; Pertzov et al., 2012). When intrusions between items in the source location task are accounted for in a similar way, the prior research would suggest that the contribution of uniform guesses should be similarly low, and that most errors should arise due to intrusions, or swap errors.</w:t>
      </w:r>
    </w:p>
    <w:p w14:paraId="6390F16B" w14:textId="77777777" w:rsidR="00B513F7" w:rsidRDefault="00B513F7" w:rsidP="00C45737">
      <w:pPr>
        <w:ind w:firstLine="720"/>
      </w:pPr>
    </w:p>
    <w:p w14:paraId="15DC6C09" w14:textId="77777777" w:rsidR="00D63E76" w:rsidRDefault="00D63E76" w:rsidP="00454E54"/>
    <w:p w14:paraId="7D199181" w14:textId="57CBA65C" w:rsidR="00313AF7" w:rsidRDefault="00313AF7" w:rsidP="00F45C52">
      <w:pPr>
        <w:ind w:firstLine="720"/>
      </w:pPr>
    </w:p>
    <w:p w14:paraId="67480435" w14:textId="575A7025" w:rsidR="00313AF7" w:rsidRDefault="00313AF7" w:rsidP="00313AF7">
      <w:pPr>
        <w:rPr>
          <w:b/>
          <w:bCs/>
        </w:rPr>
      </w:pPr>
      <w:r>
        <w:rPr>
          <w:b/>
          <w:bCs/>
        </w:rPr>
        <w:t>Decision-Making in Continuous-Outcome Tasks</w:t>
      </w:r>
    </w:p>
    <w:p w14:paraId="438D2970" w14:textId="2C3B83CF" w:rsidR="00F45C52" w:rsidRDefault="00F45C52" w:rsidP="00F45C52">
      <w:pPr>
        <w:pStyle w:val="ListParagraph"/>
        <w:numPr>
          <w:ilvl w:val="0"/>
          <w:numId w:val="4"/>
        </w:numPr>
      </w:pPr>
      <w:r>
        <w:t>Why it be important</w:t>
      </w:r>
    </w:p>
    <w:p w14:paraId="023C6DF3" w14:textId="241F12F2" w:rsidR="008D438A" w:rsidRPr="00F45C52" w:rsidRDefault="008D438A" w:rsidP="00F45C52">
      <w:pPr>
        <w:pStyle w:val="ListParagraph"/>
        <w:numPr>
          <w:ilvl w:val="0"/>
          <w:numId w:val="4"/>
        </w:numPr>
      </w:pPr>
      <w:r>
        <w:t>Another source of variability in the task.</w:t>
      </w:r>
    </w:p>
    <w:p w14:paraId="0CE44FB2" w14:textId="2DD227A2" w:rsidR="00F45C52" w:rsidRDefault="00F45C52" w:rsidP="00313AF7">
      <w:pPr>
        <w:rPr>
          <w:b/>
          <w:bCs/>
        </w:rPr>
      </w:pPr>
    </w:p>
    <w:p w14:paraId="72474A60" w14:textId="08A7D288" w:rsidR="00F45C52" w:rsidRPr="00F45C52" w:rsidRDefault="00E96D11" w:rsidP="00313AF7">
      <w:pPr>
        <w:rPr>
          <w:b/>
          <w:bCs/>
        </w:rPr>
      </w:pPr>
      <w:r>
        <w:rPr>
          <w:b/>
          <w:bCs/>
        </w:rPr>
        <w:t>Modelling Decision-Making using the</w:t>
      </w:r>
      <w:r w:rsidR="00F45C52">
        <w:rPr>
          <w:b/>
          <w:bCs/>
        </w:rPr>
        <w:t xml:space="preserve"> Circular Diffusion Model</w:t>
      </w:r>
    </w:p>
    <w:p w14:paraId="50D64589" w14:textId="77777777" w:rsidR="00313AF7" w:rsidRDefault="00313AF7" w:rsidP="00313AF7">
      <w:pPr>
        <w:ind w:firstLine="720"/>
      </w:pPr>
      <w:r>
        <w:t xml:space="preserve">While </w:t>
      </w:r>
      <w:commentRangeStart w:id="3"/>
      <w:r>
        <w:t>advantageous</w:t>
      </w:r>
      <w:commentRangeEnd w:id="3"/>
      <w:r>
        <w:rPr>
          <w:rStyle w:val="CommentReference"/>
        </w:rPr>
        <w:commentReference w:id="3"/>
      </w:r>
      <w:r>
        <w:t>, a significant obstacle in using continuous-outcome tasks to model memory performance was that until recently, no formal models of response times (RT) and decision-making existed to account for decisions made on a continuous domain. Accounting for the decision-making process in generating a response to any task is crucial to understanding the underlying cognitive processes of interest in that task, such as memory retrieval. Starns etc.</w:t>
      </w:r>
    </w:p>
    <w:p w14:paraId="07C33800" w14:textId="77777777" w:rsidR="00313AF7" w:rsidRDefault="00313AF7" w:rsidP="0047737D">
      <w:pPr>
        <w:ind w:firstLine="720"/>
      </w:pPr>
    </w:p>
    <w:p w14:paraId="1B641DB6" w14:textId="77777777" w:rsidR="008702AA" w:rsidRDefault="0047737D" w:rsidP="008702AA">
      <w:pPr>
        <w:ind w:firstLine="720"/>
      </w:pPr>
      <w:r>
        <w:lastRenderedPageBreak/>
        <w:t>In this study, we extend this line of reasoning to consider what experimental factors affect the probability of a non-target generating an intrusion response. At a broad level, as similarity between two items in memory increases, so does confusability and the probability of an intrusion. Previous studies have examined the contribution of similarity in terms of temporal context</w:t>
      </w:r>
      <w:r w:rsidR="008702AA">
        <w:t xml:space="preserve"> </w:t>
      </w:r>
    </w:p>
    <w:p w14:paraId="6999D7C6" w14:textId="7E479676" w:rsidR="0047737D" w:rsidRDefault="0047737D" w:rsidP="008702AA">
      <w:pPr>
        <w:ind w:firstLine="720"/>
      </w:pPr>
      <w:r>
        <w:t xml:space="preserve">With word stimuli, attributes of the words used, such as the semantic and orthographic similarity </w:t>
      </w:r>
    </w:p>
    <w:p w14:paraId="5929714B" w14:textId="79BD8D99" w:rsidR="00D32D72" w:rsidRDefault="00C548D9" w:rsidP="000122E9">
      <w:r>
        <w:tab/>
        <w:t>Ultimately, our goal in introducing more sophisticated models of intrusion responding is to see to what extent the intrusion component mitigates, or even eliminates, estimations for the proportion of no-information uniform guessing.</w:t>
      </w:r>
    </w:p>
    <w:p w14:paraId="77EE1459" w14:textId="4978A3FC" w:rsidR="00E96D11" w:rsidRDefault="00E96D11" w:rsidP="00E96D11">
      <w:pPr>
        <w:pStyle w:val="Heading2"/>
        <w:ind w:firstLine="0"/>
      </w:pPr>
      <w:commentRangeStart w:id="4"/>
      <w:r>
        <w:t>Description of Models</w:t>
      </w:r>
      <w:commentRangeEnd w:id="4"/>
      <w:r w:rsidR="004751CC">
        <w:rPr>
          <w:rStyle w:val="CommentReference"/>
          <w:b w:val="0"/>
        </w:rPr>
        <w:commentReference w:id="4"/>
      </w:r>
    </w:p>
    <w:p w14:paraId="3437DD01" w14:textId="2A606B0F" w:rsidR="00D106F7" w:rsidRDefault="00B40587" w:rsidP="00B40587">
      <w:pPr>
        <w:ind w:firstLine="720"/>
      </w:pPr>
      <w:r>
        <w:t>Our modelling approach was to start with a two-component mixture model equivalent to Zhang and Luck (2008), and then introduce successive elaborations on the intrusion component to make it sensitive to similarity first in terms of temporal, then spatial similarity of presentation, and finally semantic and orthographic features of the stimuli.</w:t>
      </w:r>
      <w:r w:rsidR="0090158D">
        <w:t xml:space="preserve"> The same stepwise process was also taken with the circular diffusion model, </w:t>
      </w:r>
      <w:r w:rsidR="00397C93">
        <w:t xml:space="preserve">using the same calculations to weight intrusion probability by the various kinds of similarity, using the Zhou et al. (2021) thresholded circular diffusion model as a base in place of the Zhang and Luck (2008) model. The models are formally described in the sections to follow, and the key differences between models are summarized in </w:t>
      </w:r>
      <w:commentRangeStart w:id="5"/>
      <w:r w:rsidR="00397C93">
        <w:t>Table X</w:t>
      </w:r>
      <w:commentRangeEnd w:id="5"/>
      <w:r w:rsidR="00454E54">
        <w:rPr>
          <w:rStyle w:val="CommentReference"/>
        </w:rPr>
        <w:commentReference w:id="5"/>
      </w:r>
    </w:p>
    <w:tbl>
      <w:tblPr>
        <w:tblStyle w:val="PlainTable2"/>
        <w:tblW w:w="0" w:type="auto"/>
        <w:tblLook w:val="04A0" w:firstRow="1" w:lastRow="0" w:firstColumn="1" w:lastColumn="0" w:noHBand="0" w:noVBand="1"/>
      </w:tblPr>
      <w:tblGrid>
        <w:gridCol w:w="3192"/>
        <w:gridCol w:w="3192"/>
        <w:gridCol w:w="3192"/>
      </w:tblGrid>
      <w:tr w:rsidR="0099116D" w14:paraId="1EC37B05" w14:textId="77777777" w:rsidTr="00991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47ECB6C7" w14:textId="4538611E" w:rsidR="0099116D" w:rsidRDefault="0099116D" w:rsidP="0099116D">
            <w:pPr>
              <w:jc w:val="center"/>
            </w:pPr>
            <w:r>
              <w:t>Model</w:t>
            </w:r>
          </w:p>
        </w:tc>
        <w:tc>
          <w:tcPr>
            <w:tcW w:w="3192" w:type="dxa"/>
            <w:tcBorders>
              <w:top w:val="single" w:sz="4" w:space="0" w:color="auto"/>
              <w:bottom w:val="single" w:sz="4" w:space="0" w:color="auto"/>
            </w:tcBorders>
          </w:tcPr>
          <w:p w14:paraId="5F2CC0EA" w14:textId="641586BB"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Guessing</w:t>
            </w:r>
          </w:p>
        </w:tc>
        <w:tc>
          <w:tcPr>
            <w:tcW w:w="3192" w:type="dxa"/>
            <w:tcBorders>
              <w:top w:val="single" w:sz="4" w:space="0" w:color="auto"/>
              <w:bottom w:val="single" w:sz="4" w:space="0" w:color="auto"/>
            </w:tcBorders>
          </w:tcPr>
          <w:p w14:paraId="52F1BBEE" w14:textId="4CDD6B20"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Intrusions</w:t>
            </w:r>
          </w:p>
        </w:tc>
      </w:tr>
      <w:tr w:rsidR="0099116D" w14:paraId="54201291"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nil"/>
            </w:tcBorders>
          </w:tcPr>
          <w:p w14:paraId="4C533553" w14:textId="65638BA8" w:rsidR="0099116D" w:rsidRPr="0099116D" w:rsidRDefault="0099116D" w:rsidP="0099116D">
            <w:pPr>
              <w:jc w:val="center"/>
              <w:rPr>
                <w:b w:val="0"/>
                <w:bCs w:val="0"/>
              </w:rPr>
            </w:pPr>
            <w:r w:rsidRPr="0099116D">
              <w:rPr>
                <w:b w:val="0"/>
                <w:bCs w:val="0"/>
              </w:rPr>
              <w:t>1</w:t>
            </w:r>
          </w:p>
        </w:tc>
        <w:tc>
          <w:tcPr>
            <w:tcW w:w="3192" w:type="dxa"/>
            <w:tcBorders>
              <w:top w:val="single" w:sz="4" w:space="0" w:color="auto"/>
              <w:bottom w:val="nil"/>
            </w:tcBorders>
          </w:tcPr>
          <w:p w14:paraId="2F318812" w14:textId="18237D36"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single" w:sz="4" w:space="0" w:color="auto"/>
              <w:bottom w:val="nil"/>
            </w:tcBorders>
          </w:tcPr>
          <w:p w14:paraId="1A3DE8FE" w14:textId="55ADCE21" w:rsidR="0099116D" w:rsidRDefault="0099116D" w:rsidP="0099116D">
            <w:pPr>
              <w:cnfStyle w:val="000000100000" w:firstRow="0" w:lastRow="0" w:firstColumn="0" w:lastColumn="0" w:oddVBand="0" w:evenVBand="0" w:oddHBand="1" w:evenHBand="0" w:firstRowFirstColumn="0" w:firstRowLastColumn="0" w:lastRowFirstColumn="0" w:lastRowLastColumn="0"/>
            </w:pPr>
            <w:r>
              <w:t>None</w:t>
            </w:r>
          </w:p>
        </w:tc>
      </w:tr>
      <w:tr w:rsidR="0099116D" w14:paraId="6664B506"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D752AA7" w14:textId="36F18E7D" w:rsidR="0099116D" w:rsidRPr="0099116D" w:rsidRDefault="0099116D" w:rsidP="0099116D">
            <w:pPr>
              <w:jc w:val="center"/>
              <w:rPr>
                <w:b w:val="0"/>
                <w:bCs w:val="0"/>
              </w:rPr>
            </w:pPr>
            <w:r w:rsidRPr="0099116D">
              <w:rPr>
                <w:b w:val="0"/>
                <w:bCs w:val="0"/>
              </w:rPr>
              <w:lastRenderedPageBreak/>
              <w:t>2</w:t>
            </w:r>
          </w:p>
        </w:tc>
        <w:tc>
          <w:tcPr>
            <w:tcW w:w="3192" w:type="dxa"/>
            <w:tcBorders>
              <w:top w:val="nil"/>
              <w:bottom w:val="nil"/>
            </w:tcBorders>
          </w:tcPr>
          <w:p w14:paraId="42F22AAD" w14:textId="724AE9DD"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No</w:t>
            </w:r>
          </w:p>
        </w:tc>
        <w:tc>
          <w:tcPr>
            <w:tcW w:w="3192" w:type="dxa"/>
            <w:tcBorders>
              <w:top w:val="nil"/>
              <w:bottom w:val="nil"/>
            </w:tcBorders>
          </w:tcPr>
          <w:p w14:paraId="5F5BF8CD" w14:textId="1F4B4F69" w:rsidR="0099116D" w:rsidRDefault="0099116D" w:rsidP="0099116D">
            <w:pPr>
              <w:cnfStyle w:val="000000000000" w:firstRow="0" w:lastRow="0" w:firstColumn="0" w:lastColumn="0" w:oddVBand="0" w:evenVBand="0" w:oddHBand="0" w:evenHBand="0" w:firstRowFirstColumn="0" w:firstRowLastColumn="0" w:lastRowFirstColumn="0" w:lastRowLastColumn="0"/>
            </w:pPr>
            <w:r>
              <w:t>Flat</w:t>
            </w:r>
          </w:p>
        </w:tc>
      </w:tr>
      <w:tr w:rsidR="0099116D" w14:paraId="5EE1D7C6"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40819E3E" w14:textId="6BF41ECF" w:rsidR="0099116D" w:rsidRPr="0099116D" w:rsidRDefault="0099116D" w:rsidP="0099116D">
            <w:pPr>
              <w:jc w:val="center"/>
              <w:rPr>
                <w:b w:val="0"/>
                <w:bCs w:val="0"/>
              </w:rPr>
            </w:pPr>
            <w:r w:rsidRPr="0099116D">
              <w:rPr>
                <w:b w:val="0"/>
                <w:bCs w:val="0"/>
              </w:rPr>
              <w:t>3</w:t>
            </w:r>
          </w:p>
        </w:tc>
        <w:tc>
          <w:tcPr>
            <w:tcW w:w="3192" w:type="dxa"/>
            <w:tcBorders>
              <w:top w:val="nil"/>
              <w:bottom w:val="nil"/>
            </w:tcBorders>
          </w:tcPr>
          <w:p w14:paraId="47A07C0D" w14:textId="1BA8E3F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72C3DC28" w14:textId="6815E146" w:rsidR="0099116D" w:rsidRDefault="0099116D" w:rsidP="0099116D">
            <w:pPr>
              <w:cnfStyle w:val="000000100000" w:firstRow="0" w:lastRow="0" w:firstColumn="0" w:lastColumn="0" w:oddVBand="0" w:evenVBand="0" w:oddHBand="1" w:evenHBand="0" w:firstRowFirstColumn="0" w:firstRowLastColumn="0" w:lastRowFirstColumn="0" w:lastRowLastColumn="0"/>
            </w:pPr>
            <w:r>
              <w:t>Flat</w:t>
            </w:r>
          </w:p>
        </w:tc>
      </w:tr>
      <w:tr w:rsidR="0099116D" w14:paraId="4B5A5E4E"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191FC0D7" w14:textId="0F4EDD65" w:rsidR="0099116D" w:rsidRPr="0099116D" w:rsidRDefault="0099116D" w:rsidP="0099116D">
            <w:pPr>
              <w:jc w:val="center"/>
              <w:rPr>
                <w:b w:val="0"/>
                <w:bCs w:val="0"/>
              </w:rPr>
            </w:pPr>
            <w:r w:rsidRPr="0099116D">
              <w:rPr>
                <w:b w:val="0"/>
                <w:bCs w:val="0"/>
              </w:rPr>
              <w:t>4</w:t>
            </w:r>
          </w:p>
        </w:tc>
        <w:tc>
          <w:tcPr>
            <w:tcW w:w="3192" w:type="dxa"/>
            <w:tcBorders>
              <w:top w:val="nil"/>
              <w:bottom w:val="nil"/>
            </w:tcBorders>
          </w:tcPr>
          <w:p w14:paraId="7235BFE2" w14:textId="5925F908"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nil"/>
            </w:tcBorders>
          </w:tcPr>
          <w:p w14:paraId="130F41C2" w14:textId="622DD5C8" w:rsidR="0099116D" w:rsidRDefault="0099116D" w:rsidP="0099116D">
            <w:pPr>
              <w:cnfStyle w:val="000000000000" w:firstRow="0" w:lastRow="0" w:firstColumn="0" w:lastColumn="0" w:oddVBand="0" w:evenVBand="0" w:oddHBand="0" w:evenHBand="0" w:firstRowFirstColumn="0" w:firstRowLastColumn="0" w:lastRowFirstColumn="0" w:lastRowLastColumn="0"/>
            </w:pPr>
            <w:r>
              <w:t>Temporal</w:t>
            </w:r>
          </w:p>
        </w:tc>
      </w:tr>
      <w:tr w:rsidR="0099116D" w14:paraId="207B1B07"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4E0C454" w14:textId="5F901846" w:rsidR="0099116D" w:rsidRPr="0099116D" w:rsidRDefault="0099116D" w:rsidP="0099116D">
            <w:pPr>
              <w:jc w:val="center"/>
              <w:rPr>
                <w:b w:val="0"/>
                <w:bCs w:val="0"/>
              </w:rPr>
            </w:pPr>
            <w:r w:rsidRPr="0099116D">
              <w:rPr>
                <w:b w:val="0"/>
                <w:bCs w:val="0"/>
              </w:rPr>
              <w:t>5</w:t>
            </w:r>
          </w:p>
        </w:tc>
        <w:tc>
          <w:tcPr>
            <w:tcW w:w="3192" w:type="dxa"/>
            <w:tcBorders>
              <w:top w:val="nil"/>
              <w:bottom w:val="nil"/>
            </w:tcBorders>
          </w:tcPr>
          <w:p w14:paraId="1DD8BD3C" w14:textId="2A0ACAA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1EE05DCC" w14:textId="3D5CC657" w:rsidR="0099116D" w:rsidRDefault="0099116D" w:rsidP="0099116D">
            <w:pPr>
              <w:cnfStyle w:val="000000100000" w:firstRow="0" w:lastRow="0" w:firstColumn="0" w:lastColumn="0" w:oddVBand="0" w:evenVBand="0" w:oddHBand="1" w:evenHBand="0" w:firstRowFirstColumn="0" w:firstRowLastColumn="0" w:lastRowFirstColumn="0" w:lastRowLastColumn="0"/>
            </w:pPr>
            <w:r>
              <w:t>Spatiotemporal</w:t>
            </w:r>
          </w:p>
        </w:tc>
      </w:tr>
      <w:tr w:rsidR="0099116D" w14:paraId="21B5386B"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single" w:sz="4" w:space="0" w:color="auto"/>
            </w:tcBorders>
          </w:tcPr>
          <w:p w14:paraId="2DC88CB3" w14:textId="36001231" w:rsidR="0099116D" w:rsidRPr="0099116D" w:rsidRDefault="0099116D" w:rsidP="0099116D">
            <w:pPr>
              <w:jc w:val="center"/>
              <w:rPr>
                <w:b w:val="0"/>
                <w:bCs w:val="0"/>
              </w:rPr>
            </w:pPr>
            <w:r w:rsidRPr="0099116D">
              <w:rPr>
                <w:b w:val="0"/>
                <w:bCs w:val="0"/>
              </w:rPr>
              <w:t>6</w:t>
            </w:r>
          </w:p>
        </w:tc>
        <w:tc>
          <w:tcPr>
            <w:tcW w:w="3192" w:type="dxa"/>
            <w:tcBorders>
              <w:top w:val="nil"/>
              <w:bottom w:val="single" w:sz="4" w:space="0" w:color="auto"/>
            </w:tcBorders>
          </w:tcPr>
          <w:p w14:paraId="01CA6880" w14:textId="02FA8D2E"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single" w:sz="4" w:space="0" w:color="auto"/>
            </w:tcBorders>
          </w:tcPr>
          <w:p w14:paraId="4D17B630" w14:textId="088216E0" w:rsidR="0099116D" w:rsidRDefault="0099116D" w:rsidP="0099116D">
            <w:pPr>
              <w:cnfStyle w:val="000000000000" w:firstRow="0" w:lastRow="0" w:firstColumn="0" w:lastColumn="0" w:oddVBand="0" w:evenVBand="0" w:oddHBand="0" w:evenHBand="0" w:firstRowFirstColumn="0" w:firstRowLastColumn="0" w:lastRowFirstColumn="0" w:lastRowLastColumn="0"/>
            </w:pPr>
            <w:r>
              <w:t>Saturated</w:t>
            </w:r>
          </w:p>
        </w:tc>
      </w:tr>
    </w:tbl>
    <w:p w14:paraId="4FF7D931" w14:textId="77777777" w:rsidR="0099116D" w:rsidRDefault="0099116D" w:rsidP="00B40587">
      <w:pPr>
        <w:ind w:firstLine="720"/>
      </w:pPr>
    </w:p>
    <w:p w14:paraId="71AAFF64" w14:textId="77777777" w:rsidR="009F13F1" w:rsidRPr="00D106F7" w:rsidRDefault="009F13F1" w:rsidP="00B40587">
      <w:pPr>
        <w:ind w:firstLine="720"/>
      </w:pPr>
    </w:p>
    <w:p w14:paraId="4FA212D4" w14:textId="29CA2E19" w:rsidR="00E96D11" w:rsidRDefault="00E96D11" w:rsidP="00E96D11">
      <w:pPr>
        <w:pStyle w:val="Heading3"/>
      </w:pPr>
      <w:r>
        <w:t>Model 1: Pure Guessing</w:t>
      </w:r>
    </w:p>
    <w:p w14:paraId="4C5730CD" w14:textId="3FECDCC3" w:rsidR="00982446" w:rsidRPr="00982446" w:rsidRDefault="00982446" w:rsidP="00982446">
      <w:r>
        <w:tab/>
        <w:t xml:space="preserve">As previously described, the Zhang and Luck (2008) model expresses the idea that responses are generated from a mixture of two process, one which is target-driven with Gaussian error, and another which is driven by guesses made at random:  </w:t>
      </w:r>
    </w:p>
    <w:p w14:paraId="33596F17" w14:textId="09A8DFF5" w:rsidR="00982446" w:rsidRPr="00982446" w:rsidRDefault="00982446" w:rsidP="0098244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982446" w14:paraId="1F73E875" w14:textId="77777777" w:rsidTr="00982446">
        <w:tc>
          <w:tcPr>
            <w:tcW w:w="9288" w:type="dxa"/>
            <w:vAlign w:val="center"/>
          </w:tcPr>
          <w:p w14:paraId="03308EC9" w14:textId="2EA46E9B" w:rsidR="00982446" w:rsidRDefault="00982446" w:rsidP="00982446">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oMath>
            </m:oMathPara>
          </w:p>
        </w:tc>
        <w:tc>
          <w:tcPr>
            <w:tcW w:w="288" w:type="dxa"/>
            <w:vAlign w:val="center"/>
          </w:tcPr>
          <w:p w14:paraId="78E25F6E" w14:textId="1FBCD35D" w:rsidR="00982446" w:rsidRDefault="00982446" w:rsidP="00982446">
            <w:pPr>
              <w:jc w:val="center"/>
            </w:pPr>
            <w:r>
              <w:t>(1)</w:t>
            </w:r>
          </w:p>
        </w:tc>
      </w:tr>
    </w:tbl>
    <w:p w14:paraId="1745A1F3" w14:textId="77777777" w:rsidR="00982446" w:rsidRDefault="00982446" w:rsidP="00982446"/>
    <w:p w14:paraId="0FA5F247" w14:textId="7191961A" w:rsidR="00982446" w:rsidRPr="00982446" w:rsidRDefault="00982446" w:rsidP="00982446">
      <w:r>
        <w:t xml:space="preserve">where in the target-driven component, </w:t>
      </w:r>
      <m:oMath>
        <m:r>
          <w:rPr>
            <w:rFonts w:ascii="Cambria Math" w:hAnsi="Cambria Math"/>
          </w:rPr>
          <m:t>θ</m:t>
        </m:r>
      </m:oMath>
      <w:r>
        <w:t xml:space="preserve"> represents the target angle, </w:t>
      </w:r>
      <m:oMath>
        <m:acc>
          <m:accPr>
            <m:ctrlPr>
              <w:rPr>
                <w:rFonts w:ascii="Cambria Math" w:hAnsi="Cambria Math"/>
                <w:i/>
              </w:rPr>
            </m:ctrlPr>
          </m:accPr>
          <m:e>
            <m:r>
              <w:rPr>
                <w:rFonts w:ascii="Cambria Math" w:hAnsi="Cambria Math"/>
              </w:rPr>
              <m:t>θ</m:t>
            </m:r>
          </m:e>
        </m:acc>
      </m:oMath>
      <w:r>
        <w:t xml:space="preserve"> is the reported angle</w:t>
      </w:r>
      <w:r>
        <w:t xml:space="preserve">, and </w:t>
      </w:r>
      <m:oMath>
        <m:sSub>
          <m:sSubPr>
            <m:ctrlPr>
              <w:rPr>
                <w:rFonts w:ascii="Cambria Math" w:hAnsi="Cambria Math"/>
                <w:i/>
              </w:rPr>
            </m:ctrlPr>
          </m:sSubPr>
          <m:e>
            <m:r>
              <w:rPr>
                <w:rFonts w:ascii="Cambria Math" w:hAnsi="Cambria Math"/>
              </w:rPr>
              <m:t>ϕ</m:t>
            </m:r>
          </m:e>
          <m:sub>
            <m:r>
              <w:rPr>
                <w:rFonts w:ascii="Cambria Math" w:hAnsi="Cambria Math"/>
              </w:rPr>
              <m:t>δ</m:t>
            </m:r>
          </m:sub>
        </m:sSub>
      </m:oMath>
      <w:r>
        <w:t xml:space="preserve"> represents a Von Mises distribution with a mean of 0 and a standard deviation of </w:t>
      </w:r>
      <m:oMath>
        <m:r>
          <w:rPr>
            <w:rFonts w:ascii="Cambria Math" w:hAnsi="Cambria Math"/>
          </w:rPr>
          <m:t>δ</m:t>
        </m:r>
      </m:oMath>
      <w:r>
        <w:t xml:space="preserve">. The probability that a response is a guess is represented by </w:t>
      </w:r>
      <m:oMath>
        <m:r>
          <w:rPr>
            <w:rFonts w:ascii="Cambria Math" w:hAnsi="Cambria Math"/>
          </w:rPr>
          <m:t>β</m:t>
        </m:r>
      </m:oMath>
      <w:r>
        <w:t>.</w:t>
      </w:r>
      <w:r>
        <w:rPr>
          <w:i/>
          <w:iCs/>
        </w:rPr>
        <w:t xml:space="preserve"> </w:t>
      </w:r>
    </w:p>
    <w:p w14:paraId="55600B2B" w14:textId="4814871B" w:rsidR="00E96D11" w:rsidRDefault="00E96D11" w:rsidP="00E96D11">
      <w:pPr>
        <w:pStyle w:val="Heading3"/>
      </w:pPr>
      <w:r>
        <w:t>Model 2: Pure Intrusions</w:t>
      </w:r>
    </w:p>
    <w:p w14:paraId="568FE050" w14:textId="4249B228" w:rsidR="009F13F1" w:rsidRPr="009F13F1" w:rsidRDefault="009F13F1" w:rsidP="009F13F1">
      <w:r>
        <w:tab/>
        <w:t>To test the strong prediction that all non-target responses can be accounted for with intrusions from non-target items without invoking any uniform guessing, Model 2</w:t>
      </w:r>
      <w:r w:rsidR="00675C54">
        <w:t xml:space="preserve"> </w:t>
      </w:r>
      <w:r w:rsidR="00B6538A">
        <w:t>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982446" w14:paraId="66C63943" w14:textId="77777777" w:rsidTr="00A13961">
        <w:tc>
          <w:tcPr>
            <w:tcW w:w="9288" w:type="dxa"/>
            <w:vAlign w:val="center"/>
          </w:tcPr>
          <w:p w14:paraId="6B780E1A" w14:textId="4C79DD25" w:rsidR="00982446" w:rsidRDefault="00982446" w:rsidP="00A13961">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xml:space="preserve">+ </m:t>
                </m:r>
                <m:r>
                  <w:rPr>
                    <w:rFonts w:ascii="Cambria Math" w:hAnsi="Cambria Math"/>
                  </w:rPr>
                  <m:t>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77C1F44E" w14:textId="6CD11EE4" w:rsidR="00982446" w:rsidRDefault="00982446" w:rsidP="00A13961">
            <w:pPr>
              <w:jc w:val="center"/>
            </w:pPr>
            <w:r>
              <w:t>(</w:t>
            </w:r>
            <w:r>
              <w:t>2</w:t>
            </w:r>
            <w:r>
              <w:t>)</w:t>
            </w:r>
          </w:p>
        </w:tc>
      </w:tr>
    </w:tbl>
    <w:p w14:paraId="6FC87925" w14:textId="04EE308D" w:rsidR="00982446" w:rsidRPr="00B6538A" w:rsidRDefault="00B6538A" w:rsidP="00982446">
      <w:r>
        <w:lastRenderedPageBreak/>
        <w:t xml:space="preserve">where the probability of an intrusion occurring is represented by </w:t>
      </w:r>
      <m:oMath>
        <m:r>
          <w:rPr>
            <w:rFonts w:ascii="Cambria Math" w:hAnsi="Cambria Math"/>
          </w:rPr>
          <m:t>γ</m:t>
        </m:r>
      </m:oMath>
      <w:r w:rsidR="00B5196B">
        <w:t xml:space="preserve">, and the angle associated with the </w:t>
      </w:r>
      <w:r w:rsidR="00B5196B">
        <w:rPr>
          <w:i/>
          <w:iCs/>
        </w:rPr>
        <w:t>i</w:t>
      </w:r>
      <w:r w:rsidR="00B5196B">
        <w:t xml:space="preserve">th intruding item is represented by </w:t>
      </w:r>
      <m:oMath>
        <m:sSub>
          <m:sSubPr>
            <m:ctrlPr>
              <w:rPr>
                <w:rFonts w:ascii="Cambria Math" w:hAnsi="Cambria Math"/>
                <w:i/>
                <w:sz w:val="22"/>
                <w:szCs w:val="22"/>
              </w:rPr>
            </m:ctrlPr>
          </m:sSubPr>
          <m:e>
            <m:r>
              <w:rPr>
                <w:rFonts w:ascii="Cambria Math" w:hAnsi="Cambria Math"/>
              </w:rPr>
              <m:t>θ</m:t>
            </m:r>
          </m:e>
          <m:sub>
            <m:r>
              <w:rPr>
                <w:rFonts w:ascii="Cambria Math" w:hAnsi="Cambria Math"/>
              </w:rPr>
              <m:t>i</m:t>
            </m:r>
          </m:sub>
        </m:sSub>
      </m:oMath>
      <w:r w:rsidR="00B5196B">
        <w:rPr>
          <w:sz w:val="22"/>
          <w:szCs w:val="22"/>
        </w:rPr>
        <w:t>.</w:t>
      </w:r>
      <w:r>
        <w:t xml:space="preserve"> Note that of the </w:t>
      </w:r>
      <w:r>
        <w:rPr>
          <w:i/>
          <w:iCs/>
        </w:rPr>
        <w:t>m</w:t>
      </w:r>
      <w:r>
        <w:t xml:space="preserve"> non-target items, the probability of a particular non-target intruding is equal</w:t>
      </w:r>
      <w:r w:rsidR="00B5196B">
        <w:t>.</w:t>
      </w:r>
    </w:p>
    <w:p w14:paraId="46762F8E" w14:textId="40C95170" w:rsidR="00E96D11" w:rsidRDefault="00E96D11" w:rsidP="00E96D11">
      <w:pPr>
        <w:pStyle w:val="Heading3"/>
      </w:pPr>
      <w:r>
        <w:t>Model 3: Intrusions + Guessing</w:t>
      </w:r>
    </w:p>
    <w:p w14:paraId="064602B8" w14:textId="11E22646" w:rsidR="00B5196B" w:rsidRPr="00B5196B" w:rsidRDefault="00B5196B" w:rsidP="00B5196B">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982446" w14:paraId="08134F95" w14:textId="77777777" w:rsidTr="00A13961">
        <w:tc>
          <w:tcPr>
            <w:tcW w:w="9288" w:type="dxa"/>
            <w:vAlign w:val="center"/>
          </w:tcPr>
          <w:p w14:paraId="35370451" w14:textId="6D1CA4EA" w:rsidR="00982446" w:rsidRDefault="00982446" w:rsidP="00A13961">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β</m:t>
                    </m:r>
                    <m:r>
                      <w:rPr>
                        <w:rFonts w:ascii="Cambria Math" w:hAnsi="Cambria Math"/>
                      </w:rPr>
                      <m:t>-</m:t>
                    </m:r>
                    <m:r>
                      <w:rPr>
                        <w:rFonts w:ascii="Cambria Math" w:hAnsi="Cambria Math"/>
                      </w:rPr>
                      <m:t>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xml:space="preserve">+ </m:t>
                </m:r>
                <m:r>
                  <w:rPr>
                    <w:rFonts w:ascii="Cambria Math" w:hAnsi="Cambria Math"/>
                  </w:rPr>
                  <m:t>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1AAD5E9C" w14:textId="31DF8F71" w:rsidR="00982446" w:rsidRDefault="00982446" w:rsidP="00A13961">
            <w:pPr>
              <w:jc w:val="center"/>
            </w:pPr>
            <w:r>
              <w:t>(</w:t>
            </w:r>
            <w:r>
              <w:t>3</w:t>
            </w:r>
            <w:r>
              <w:t>)</w:t>
            </w:r>
          </w:p>
        </w:tc>
      </w:tr>
    </w:tbl>
    <w:p w14:paraId="19503612" w14:textId="77777777" w:rsidR="00982446" w:rsidRPr="00982446" w:rsidRDefault="00982446" w:rsidP="00982446"/>
    <w:p w14:paraId="78B20202" w14:textId="1FCBD070" w:rsidR="00E96D11" w:rsidRDefault="00E96D11" w:rsidP="00E96D11">
      <w:pPr>
        <w:pStyle w:val="Heading3"/>
      </w:pPr>
      <w:r>
        <w:t xml:space="preserve">Model 4: Temporal </w:t>
      </w:r>
      <w:r w:rsidR="00D106F7">
        <w:t xml:space="preserve">Similarity </w:t>
      </w:r>
      <w:r>
        <w:t xml:space="preserve">Gradient </w:t>
      </w:r>
    </w:p>
    <w:p w14:paraId="2CF59F26" w14:textId="7158516B" w:rsidR="008F1972" w:rsidRDefault="00982446" w:rsidP="00982446">
      <w:pPr>
        <w:rPr>
          <w:i/>
          <w:iCs/>
        </w:rPr>
      </w:pPr>
      <w:r>
        <w:tab/>
        <w:t>In contrast to Model</w:t>
      </w:r>
      <w:r w:rsidR="008F1972">
        <w:t>s 2 and</w:t>
      </w:r>
      <w:r>
        <w:t xml:space="preserve"> 3 </w:t>
      </w:r>
      <w:r w:rsidR="008F1972">
        <w:t>in which</w:t>
      </w:r>
      <w:r>
        <w:t xml:space="preserve"> each intrusion is equally weighted (that is, the likelihood of each intruding item is divided by the number of intrusions), </w:t>
      </w:r>
      <w:r w:rsidR="008F1972">
        <w:t>in Model 4 the</w:t>
      </w:r>
      <w:r>
        <w:t xml:space="preserve"> weight of each intruding item is</w:t>
      </w:r>
      <w:r w:rsidR="00BF0183">
        <w:t xml:space="preserve"> determined by</w:t>
      </w:r>
      <w:r>
        <w:t xml:space="preserve"> </w:t>
      </w:r>
      <w:r w:rsidR="00BF0183">
        <w:t xml:space="preserve">its temporal similarity to the target </w:t>
      </w:r>
      <w:r>
        <w:t xml:space="preserve">represented by </w:t>
      </w:r>
      <w:r w:rsidR="00BF0183">
        <w:rPr>
          <w:i/>
          <w:iCs/>
        </w:rPr>
        <w:t>t</w:t>
      </w:r>
      <w:r w:rsidR="006764BD">
        <w:rPr>
          <w:i/>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8F1972" w14:paraId="15280BA9" w14:textId="77777777" w:rsidTr="00A13961">
        <w:tc>
          <w:tcPr>
            <w:tcW w:w="9288" w:type="dxa"/>
            <w:vAlign w:val="center"/>
          </w:tcPr>
          <w:p w14:paraId="65E74BDF" w14:textId="7AA0332A" w:rsidR="008F1972" w:rsidRDefault="008F1972" w:rsidP="00A13961">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755691E6" w14:textId="77777777" w:rsidR="008F1972" w:rsidRDefault="008F1972" w:rsidP="00A13961">
            <w:pPr>
              <w:jc w:val="center"/>
            </w:pPr>
            <w:r>
              <w:t>(4)</w:t>
            </w:r>
          </w:p>
        </w:tc>
      </w:tr>
    </w:tbl>
    <w:p w14:paraId="14FA244A" w14:textId="0154CAD3" w:rsidR="00982446" w:rsidRPr="00982446" w:rsidRDefault="00982446" w:rsidP="00982446">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982446" w14:paraId="3A18103A" w14:textId="77777777" w:rsidTr="00982446">
        <w:tc>
          <w:tcPr>
            <w:tcW w:w="9103" w:type="dxa"/>
            <w:vAlign w:val="center"/>
          </w:tcPr>
          <w:p w14:paraId="5B4EECAB" w14:textId="6A3E78C4" w:rsidR="00982446" w:rsidRDefault="00BF0183" w:rsidP="00A13961">
            <w:pPr>
              <w:jc w:val="center"/>
            </w:pPr>
            <m:oMathPara>
              <m:oMath>
                <m:r>
                  <w:rPr>
                    <w:rFonts w:ascii="Cambria Math" w:hAnsi="Cambria Math"/>
                  </w:rPr>
                  <m:t>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m:t>
                        </m:r>
                        <m:r>
                          <w:rPr>
                            <w:rFonts w:ascii="Cambria Math" w:hAnsi="Cambria Math"/>
                          </w:rPr>
                          <m:t>l</m:t>
                        </m:r>
                        <m:r>
                          <w:rPr>
                            <w:rFonts w:ascii="Cambria Math" w:hAnsi="Cambria Math"/>
                          </w:rPr>
                          <m:t>&gt;</m:t>
                        </m:r>
                        <m:r>
                          <w:rPr>
                            <w:rFonts w:ascii="Cambria Math" w:hAnsi="Cambria Math"/>
                          </w:rPr>
                          <m:t>0</m:t>
                        </m:r>
                      </m:e>
                      <m:e>
                        <m:r>
                          <w:rPr>
                            <w:rFonts w:ascii="Cambria Math" w:hAnsi="Cambria Math"/>
                          </w:rPr>
                          <m:t>(1-κ)</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m:t>
                        </m:r>
                        <m:r>
                          <w:rPr>
                            <w:rFonts w:ascii="Cambria Math" w:hAnsi="Cambria Math"/>
                          </w:rPr>
                          <m:t>l</m:t>
                        </m:r>
                        <m:r>
                          <w:rPr>
                            <w:rFonts w:ascii="Cambria Math" w:hAnsi="Cambria Math"/>
                          </w:rPr>
                          <m:t>&lt;</m:t>
                        </m:r>
                        <m:r>
                          <w:rPr>
                            <w:rFonts w:ascii="Cambria Math" w:hAnsi="Cambria Math"/>
                          </w:rPr>
                          <m:t>0</m:t>
                        </m:r>
                      </m:e>
                    </m:eqArr>
                  </m:e>
                </m:d>
              </m:oMath>
            </m:oMathPara>
          </w:p>
        </w:tc>
        <w:tc>
          <w:tcPr>
            <w:tcW w:w="473" w:type="dxa"/>
            <w:vAlign w:val="center"/>
          </w:tcPr>
          <w:p w14:paraId="7DDA4864" w14:textId="537F4B4E" w:rsidR="00982446" w:rsidRDefault="00982446" w:rsidP="00A13961">
            <w:pPr>
              <w:jc w:val="center"/>
            </w:pPr>
            <w:r>
              <w:t>(</w:t>
            </w:r>
            <w:r>
              <w:t>5</w:t>
            </w:r>
            <w:r>
              <w:t>)</w:t>
            </w:r>
          </w:p>
        </w:tc>
      </w:tr>
    </w:tbl>
    <w:p w14:paraId="5DCD60DB" w14:textId="19E4D7A2" w:rsidR="00982446" w:rsidRPr="006764BD" w:rsidRDefault="006764BD" w:rsidP="00982446">
      <w:pPr>
        <w:rPr>
          <w:i/>
          <w:iCs/>
        </w:rPr>
      </w:pPr>
      <w:r>
        <w:t xml:space="preserve">which is </w:t>
      </w:r>
      <w:r w:rsidR="00003258">
        <w:t>an exponential decay function of</w:t>
      </w:r>
      <w:r>
        <w:t xml:space="preserve"> </w:t>
      </w:r>
      <w:r w:rsidR="00B0786F">
        <w:rPr>
          <w:i/>
          <w:iCs/>
        </w:rPr>
        <w:t>l</w:t>
      </w:r>
      <w:r>
        <w:rPr>
          <w:i/>
          <w:iCs/>
        </w:rPr>
        <w:t xml:space="preserve">, </w:t>
      </w:r>
      <w:r>
        <w:t>the temporal distance between the target and the intruding item</w:t>
      </w:r>
      <w:r>
        <w:t xml:space="preserve">, or the </w:t>
      </w:r>
      <w:r w:rsidRPr="006764BD">
        <w:rPr>
          <w:i/>
          <w:iCs/>
        </w:rPr>
        <w:t>lag</w:t>
      </w:r>
      <w:r>
        <w:t xml:space="preserve"> of the intrusion. </w:t>
      </w:r>
      <w:r w:rsidR="00F420B0">
        <w:t xml:space="preserve">The choice of an exponential decay function </w:t>
      </w:r>
      <w:r w:rsidR="00F420B0">
        <w:br/>
      </w:r>
      <w:r>
        <w:t xml:space="preserve">To allow for asymmetry in terms of temporal similarity for backwards and forwards lags, </w:t>
      </w:r>
      <m:oMath>
        <m:r>
          <w:rPr>
            <w:rFonts w:ascii="Cambria Math" w:hAnsi="Cambria Math"/>
          </w:rPr>
          <m:t>κ</m:t>
        </m:r>
      </m:oMath>
      <w:r>
        <w:t xml:space="preserve"> scales the similarity slope in each direction such that when </w:t>
      </w:r>
      <m:oMath>
        <m:r>
          <w:rPr>
            <w:rFonts w:ascii="Cambria Math" w:hAnsi="Cambria Math"/>
          </w:rPr>
          <m:t>κ</m:t>
        </m:r>
        <m:r>
          <w:rPr>
            <w:rFonts w:ascii="Cambria Math" w:hAnsi="Cambria Math"/>
          </w:rPr>
          <m:t>&gt;0.5</m:t>
        </m:r>
      </m:oMath>
      <w:r>
        <w:t>, intrusions presented after the target have greater temporal similarity</w:t>
      </w:r>
      <w:r w:rsidR="00660E78">
        <w:t>, and hence are weighted more in calculating the overall intrusion likelihood,</w:t>
      </w:r>
      <w:r>
        <w:t xml:space="preserve"> compared to intrusions preceding the target</w:t>
      </w:r>
      <w:r w:rsidR="009E3781">
        <w:t xml:space="preserve">, commonly observed in studies </w:t>
      </w:r>
      <w:r w:rsidR="009E3781">
        <w:lastRenderedPageBreak/>
        <w:t>of temporal contiguity (Kahana, 1996)</w:t>
      </w:r>
      <w:r>
        <w:t>.</w:t>
      </w:r>
      <w:r w:rsidR="008F1972">
        <w:t xml:space="preserve"> </w:t>
      </w:r>
      <w:r w:rsidR="00003258">
        <w:t xml:space="preserve">The rate of exponential decay </w:t>
      </w:r>
      <m:oMath>
        <m:r>
          <w:rPr>
            <w:rFonts w:ascii="Cambria Math" w:hAnsi="Cambria Math"/>
          </w:rPr>
          <m:t>λ</m:t>
        </m:r>
      </m:oMath>
      <w:r w:rsidR="00003258">
        <w:t xml:space="preserve"> is estimated separately for the forwards and backwards similarity slopes.</w:t>
      </w:r>
    </w:p>
    <w:p w14:paraId="4AF19D97" w14:textId="7341E47C" w:rsidR="00E96D11" w:rsidRDefault="00E96D11" w:rsidP="00E96D11">
      <w:pPr>
        <w:pStyle w:val="Heading3"/>
      </w:pPr>
      <w:r>
        <w:t xml:space="preserve">Model 5: Spatiotemporal </w:t>
      </w:r>
      <w:r w:rsidR="00D106F7">
        <w:t xml:space="preserve">Similarity </w:t>
      </w:r>
      <w:r>
        <w:t xml:space="preserve">Gradient </w:t>
      </w:r>
    </w:p>
    <w:p w14:paraId="6E7EF08C" w14:textId="33C03E5B" w:rsidR="004C1A8C" w:rsidRDefault="004C1A8C" w:rsidP="004C1A8C">
      <w:r>
        <w:tab/>
      </w:r>
      <w:r w:rsidR="00EB43F2">
        <w:t xml:space="preserve">Using the same </w:t>
      </w:r>
      <w:r w:rsidR="00F420B0">
        <w:t xml:space="preserve">basic </w:t>
      </w:r>
      <w:r w:rsidR="00EB43F2">
        <w:t>structure</w:t>
      </w:r>
      <w:r w:rsidR="00F420B0">
        <w:t xml:space="preserve"> as the previous models</w:t>
      </w:r>
      <w:r w:rsidR="00EB43F2">
        <w:t>,</w:t>
      </w:r>
      <w:r w:rsidR="00A82FDB">
        <w:t xml:space="preserve"> in Model 5 i</w:t>
      </w:r>
      <w:r>
        <w:t>ntrusion likelihood is a weighted product of temporal and spatial similarity</w:t>
      </w:r>
      <w:r w:rsidR="00B6538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420B0" w14:paraId="530F56B9" w14:textId="77777777" w:rsidTr="00F420B0">
        <w:tc>
          <w:tcPr>
            <w:tcW w:w="9103" w:type="dxa"/>
            <w:vAlign w:val="center"/>
          </w:tcPr>
          <w:p w14:paraId="5EBB6754" w14:textId="2DD8A24D" w:rsidR="00F420B0" w:rsidRDefault="00F420B0" w:rsidP="00A13961">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473" w:type="dxa"/>
            <w:vAlign w:val="center"/>
          </w:tcPr>
          <w:p w14:paraId="5677F56E" w14:textId="5A6334A9" w:rsidR="00F420B0" w:rsidRDefault="00F420B0" w:rsidP="00A13961">
            <w:pPr>
              <w:jc w:val="center"/>
            </w:pPr>
            <w:r>
              <w:t>(</w:t>
            </w:r>
            <w:r>
              <w:t>6</w:t>
            </w:r>
            <w:r>
              <w:t>)</w:t>
            </w:r>
          </w:p>
        </w:tc>
      </w:tr>
      <w:tr w:rsidR="00675C54" w14:paraId="4B406DC1" w14:textId="77777777" w:rsidTr="00A13961">
        <w:tc>
          <w:tcPr>
            <w:tcW w:w="9103" w:type="dxa"/>
            <w:vAlign w:val="center"/>
          </w:tcPr>
          <w:p w14:paraId="20263B2C" w14:textId="5009B633" w:rsidR="00675C54" w:rsidRDefault="00675C54" w:rsidP="00A13961">
            <w:pPr>
              <w:jc w:val="center"/>
            </w:pPr>
            <m:oMathPara>
              <m:oMath>
                <m:r>
                  <w:rPr>
                    <w:rFonts w:ascii="Cambria Math" w:hAnsi="Cambria Math"/>
                  </w:rPr>
                  <m:t>w</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s</m:t>
                    </m:r>
                  </m:e>
                  <m:sup>
                    <m:r>
                      <w:rPr>
                        <w:rFonts w:ascii="Cambria Math" w:hAnsi="Cambria Math"/>
                      </w:rPr>
                      <m:t>ρ</m:t>
                    </m:r>
                  </m:sup>
                </m:sSup>
              </m:oMath>
            </m:oMathPara>
          </w:p>
        </w:tc>
        <w:tc>
          <w:tcPr>
            <w:tcW w:w="473" w:type="dxa"/>
            <w:vAlign w:val="center"/>
          </w:tcPr>
          <w:p w14:paraId="75B8BD3B" w14:textId="4646F105" w:rsidR="00675C54" w:rsidRDefault="00675C54" w:rsidP="00A13961">
            <w:pPr>
              <w:jc w:val="center"/>
            </w:pPr>
            <w:r>
              <w:t>(</w:t>
            </w:r>
            <w:r w:rsidR="004C1A8C">
              <w:t>7</w:t>
            </w:r>
            <w:r>
              <w:t>)</w:t>
            </w:r>
          </w:p>
        </w:tc>
      </w:tr>
    </w:tbl>
    <w:p w14:paraId="6C329CA4" w14:textId="017329BF" w:rsidR="00EB43F2" w:rsidRDefault="00F9144D" w:rsidP="00675C54">
      <w:r>
        <w:t xml:space="preserve">where the overall weight given to each intruding angle, </w:t>
      </w:r>
      <w:r>
        <w:rPr>
          <w:i/>
          <w:iCs/>
        </w:rPr>
        <w:t>w</w:t>
      </w:r>
      <w:r>
        <w:t xml:space="preserve">, is </w:t>
      </w:r>
      <w:r w:rsidR="00EB43F2">
        <w:t xml:space="preserve">determined by both the temporal similarity between the intruding item and the target, </w:t>
      </w:r>
      <w:r w:rsidR="00F420B0">
        <w:rPr>
          <w:i/>
          <w:iCs/>
        </w:rPr>
        <w:t xml:space="preserve">t </w:t>
      </w:r>
      <w:r w:rsidR="00EB43F2">
        <w:t xml:space="preserve">as defined in (5), and the spatial similarity between the target and intruding angles </w:t>
      </w:r>
      <w:r w:rsidR="00EB43F2" w:rsidRPr="00EB43F2">
        <w:rPr>
          <w:i/>
          <w:iCs/>
        </w:rPr>
        <w:t>s</w:t>
      </w:r>
      <w:r w:rsidR="00EB43F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EB43F2" w14:paraId="72204BBB" w14:textId="77777777" w:rsidTr="00A13961">
        <w:tc>
          <w:tcPr>
            <w:tcW w:w="9103" w:type="dxa"/>
            <w:vAlign w:val="center"/>
          </w:tcPr>
          <w:p w14:paraId="67A6E011" w14:textId="77777777" w:rsidR="00EB43F2" w:rsidRDefault="00EB43F2" w:rsidP="00A13961">
            <w:pPr>
              <w:jc w:val="center"/>
            </w:pPr>
            <m:oMathPara>
              <m:oMath>
                <m:r>
                  <w:rPr>
                    <w:rFonts w:ascii="Cambria Math" w:hAnsi="Cambria Math"/>
                  </w:rPr>
                  <m:t>s</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-ζ(1-</m:t>
                    </m:r>
                    <m:func>
                      <m:funcPr>
                        <m:ctrlPr>
                          <w:rPr>
                            <w:rFonts w:ascii="Cambria Math" w:hAnsi="Cambria Math"/>
                            <w:i/>
                          </w:rPr>
                        </m:ctrlPr>
                      </m:funcPr>
                      <m:fName>
                        <m:r>
                          <m:rPr>
                            <m:sty m:val="p"/>
                          </m:rPr>
                          <w:rPr>
                            <w:rFonts w:ascii="Cambria Math" w:hAnsi="Cambria Math"/>
                          </w:rPr>
                          <m:t>cos</m:t>
                        </m:r>
                        <m:r>
                          <m:rPr>
                            <m:sty m:val="p"/>
                          </m:rPr>
                          <w:rPr>
                            <w:rFonts w:ascii="Cambria Math" w:hAnsi="Cambria Math"/>
                          </w:rPr>
                          <m:t>⁡(</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07EEE052" w14:textId="77777777" w:rsidR="00EB43F2" w:rsidRDefault="00EB43F2" w:rsidP="00A13961">
            <w:pPr>
              <w:jc w:val="center"/>
            </w:pPr>
            <w:r>
              <w:t>(8)</w:t>
            </w:r>
          </w:p>
        </w:tc>
      </w:tr>
    </w:tbl>
    <w:p w14:paraId="4304B07B" w14:textId="3B6660B4" w:rsidR="00F420B0" w:rsidRDefault="00F420B0" w:rsidP="00675C54">
      <w:r>
        <w:t xml:space="preserve">similarly to the temporal component, spatial similarity </w:t>
      </w:r>
    </w:p>
    <w:p w14:paraId="1F0F11AF" w14:textId="5AC7EE10" w:rsidR="00675C54" w:rsidRPr="00EB43F2" w:rsidRDefault="00EB43F2" w:rsidP="00675C54">
      <w:r w:rsidRPr="00EB43F2">
        <w:t>The</w:t>
      </w:r>
      <w:r>
        <w:t xml:space="preserve"> relative contribution of temporal and spatial similarity in determining overall spatiotemporal similarity is weighted by </w:t>
      </w:r>
      <m:oMath>
        <m:r>
          <w:rPr>
            <w:rFonts w:ascii="Cambria Math" w:hAnsi="Cambria Math"/>
          </w:rPr>
          <m:t>ρ</m:t>
        </m:r>
      </m:oMath>
      <w:r>
        <w:t>.</w:t>
      </w:r>
      <w:r w:rsidR="00F420B0">
        <w:t xml:space="preserve"> </w:t>
      </w:r>
    </w:p>
    <w:p w14:paraId="717ADC4D" w14:textId="77777777" w:rsidR="003B66F4" w:rsidRPr="00675C54" w:rsidRDefault="003B66F4" w:rsidP="00675C54"/>
    <w:p w14:paraId="4F658499" w14:textId="68E23784" w:rsidR="00E96D11" w:rsidRPr="00E96D11" w:rsidRDefault="00E96D11" w:rsidP="00E96D11">
      <w:pPr>
        <w:pStyle w:val="Heading3"/>
      </w:pPr>
      <w:r>
        <w:t xml:space="preserve">Model 6: </w:t>
      </w:r>
      <w:r w:rsidR="00D106F7">
        <w:t>Spatiotemporal-Semantic-Orthographic Similarity Gradient</w:t>
      </w:r>
    </w:p>
    <w:p w14:paraId="7339233C" w14:textId="77777777" w:rsidR="00D32D72" w:rsidRDefault="00D32D72" w:rsidP="000122E9"/>
    <w:p w14:paraId="2D0AEC59" w14:textId="77777777" w:rsidR="00836CE7" w:rsidRDefault="00836CE7" w:rsidP="00836CE7">
      <w:pPr>
        <w:pStyle w:val="Heading1"/>
      </w:pPr>
      <w:r>
        <w:t>Overview of Experiments</w:t>
      </w:r>
    </w:p>
    <w:p w14:paraId="6D3A1FA8" w14:textId="0B0E6A20" w:rsidR="0047737D" w:rsidRPr="000122E9" w:rsidRDefault="00836CE7" w:rsidP="00836CE7">
      <w:r>
        <w:t>In experiment 1 we found qualitative improvements in fit with more sophisticated systematic intrusion processes, but insufficient data</w:t>
      </w:r>
      <w:r w:rsidR="0047737D">
        <w:tab/>
      </w:r>
    </w:p>
    <w:p w14:paraId="471EDB6F" w14:textId="40E6C778" w:rsidR="000A078C" w:rsidRDefault="000A078C" w:rsidP="000A078C">
      <w:pPr>
        <w:pStyle w:val="Heading1"/>
      </w:pPr>
      <w:r w:rsidRPr="000A078C">
        <w:lastRenderedPageBreak/>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6" w:name="_18qzotez331d"/>
      <w:bookmarkEnd w:id="6"/>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SUBTLEXus database, filtered for words with a length of four letters, and with frequency ratings between one and five.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lastRenderedPageBreak/>
        <w:t>Software written in Javascript using jsPsych (deLeeuw, 2015) controlled stimulus presentation and recorded responses.</w:t>
      </w:r>
      <w:r w:rsidR="00E11FC8">
        <w:t xml:space="preserve"> </w:t>
      </w:r>
    </w:p>
    <w:p w14:paraId="2B2FED0A" w14:textId="77777777" w:rsidR="00A102EA" w:rsidRDefault="00A102EA" w:rsidP="000A078C">
      <w:pPr>
        <w:pStyle w:val="Heading3"/>
      </w:pPr>
      <w:bookmarkStart w:id="7" w:name="_xpawz2834hng"/>
      <w:bookmarkStart w:id="8" w:name="_p894letv0pt3"/>
      <w:bookmarkEnd w:id="7"/>
      <w:bookmarkEnd w:id="8"/>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experiment, which would be the same for all subsequent sessions for that participant.</w:t>
      </w:r>
    </w:p>
    <w:p w14:paraId="0E2B4AD9" w14:textId="48E6D22F" w:rsidR="00E11FC8" w:rsidRDefault="00A102EA" w:rsidP="00842DEA">
      <w:pPr>
        <w:autoSpaceDE w:val="0"/>
        <w:autoSpaceDN w:val="0"/>
        <w:adjustRightInd w:val="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ms. The presentation of the </w:t>
      </w:r>
      <w:r w:rsidR="00A16862">
        <w:t>marker</w:t>
      </w:r>
      <w:r>
        <w:t xml:space="preserve"> was followed by the display of a word in the center of the screen for 1500 ms.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ms, then the location was then re-presented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ms. Instead of being positioning the word in the </w:t>
      </w:r>
      <w:r w:rsidR="00842DEA">
        <w:t>center</w:t>
      </w:r>
      <w:r>
        <w:t xml:space="preserve"> of the </w:t>
      </w:r>
      <w:r>
        <w:lastRenderedPageBreak/>
        <w:t xml:space="preserve">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30E7284E" w:rsidR="00A102EA" w:rsidRDefault="00A102EA" w:rsidP="00E11FC8">
      <w:pPr>
        <w:ind w:firstLine="720"/>
      </w:pPr>
      <w:r>
        <w:t xml:space="preserve">Finally, in the source memory retrieval task, participants were cued with the words for 1500 ms, and then indicated the recalled location by a </w:t>
      </w:r>
      <w:r w:rsidR="00E11FC8">
        <w:t>moving the</w:t>
      </w:r>
      <w:r>
        <w:t xml:space="preserve"> mouse </w:t>
      </w:r>
      <w:r w:rsidR="00E11FC8">
        <w:t>from the starting point in the centre of the circle to a point on</w:t>
      </w:r>
      <w:r>
        <w:t xml:space="preserve"> the circumference of </w:t>
      </w:r>
      <w:r w:rsidR="00E11FC8">
        <w:t>the</w:t>
      </w:r>
      <w:r>
        <w:t xml:space="preserve"> response circle. There was no time limit on the decision task. A schematic for one trial in each of the phases is shown in Figure </w:t>
      </w:r>
      <w:r w:rsidR="00E11FC8">
        <w:t>1</w:t>
      </w:r>
      <w:r>
        <w:t>.</w:t>
      </w:r>
    </w:p>
    <w:p w14:paraId="52CD7D76" w14:textId="77777777" w:rsidR="00275357" w:rsidRPr="00275357" w:rsidRDefault="00275357" w:rsidP="00275357">
      <w:pPr>
        <w:pStyle w:val="Caption"/>
        <w:keepNext/>
        <w:rPr>
          <w:b/>
          <w:bCs/>
          <w:i w:val="0"/>
          <w:iCs w:val="0"/>
          <w:color w:val="auto"/>
          <w:sz w:val="24"/>
          <w:szCs w:val="24"/>
        </w:rPr>
      </w:pPr>
      <w:r w:rsidRPr="00275357">
        <w:rPr>
          <w:b/>
          <w:bCs/>
          <w:i w:val="0"/>
          <w:iCs w:val="0"/>
          <w:color w:val="auto"/>
          <w:sz w:val="24"/>
          <w:szCs w:val="24"/>
        </w:rPr>
        <w:lastRenderedPageBreak/>
        <w:t xml:space="preserve">Figure </w:t>
      </w:r>
      <w:r w:rsidRPr="00275357">
        <w:rPr>
          <w:b/>
          <w:bCs/>
          <w:i w:val="0"/>
          <w:iCs w:val="0"/>
          <w:color w:val="auto"/>
          <w:sz w:val="24"/>
          <w:szCs w:val="24"/>
        </w:rPr>
        <w:fldChar w:fldCharType="begin"/>
      </w:r>
      <w:r w:rsidRPr="00275357">
        <w:rPr>
          <w:b/>
          <w:bCs/>
          <w:i w:val="0"/>
          <w:iCs w:val="0"/>
          <w:color w:val="auto"/>
          <w:sz w:val="24"/>
          <w:szCs w:val="24"/>
        </w:rPr>
        <w:instrText xml:space="preserve"> SEQ Figure \* ARABIC </w:instrText>
      </w:r>
      <w:r w:rsidRPr="00275357">
        <w:rPr>
          <w:b/>
          <w:bCs/>
          <w:i w:val="0"/>
          <w:iCs w:val="0"/>
          <w:color w:val="auto"/>
          <w:sz w:val="24"/>
          <w:szCs w:val="24"/>
        </w:rPr>
        <w:fldChar w:fldCharType="separate"/>
      </w:r>
      <w:r w:rsidRPr="00275357">
        <w:rPr>
          <w:b/>
          <w:bCs/>
          <w:i w:val="0"/>
          <w:iCs w:val="0"/>
          <w:noProof/>
          <w:color w:val="auto"/>
          <w:sz w:val="24"/>
          <w:szCs w:val="24"/>
        </w:rPr>
        <w:t>1</w:t>
      </w:r>
      <w:r w:rsidRPr="00275357">
        <w:rPr>
          <w:b/>
          <w:bCs/>
          <w:i w:val="0"/>
          <w:iCs w:val="0"/>
          <w:color w:val="auto"/>
          <w:sz w:val="24"/>
          <w:szCs w:val="24"/>
        </w:rPr>
        <w:fldChar w:fldCharType="end"/>
      </w:r>
      <w:r w:rsidRPr="00275357">
        <w:rPr>
          <w:b/>
          <w:bCs/>
          <w:i w:val="0"/>
          <w:iCs w:val="0"/>
          <w:color w:val="auto"/>
          <w:sz w:val="24"/>
          <w:szCs w:val="24"/>
        </w:rPr>
        <w:t xml:space="preserve"> </w:t>
      </w:r>
    </w:p>
    <w:p w14:paraId="16BAF6B7" w14:textId="39823239" w:rsidR="00275357" w:rsidRPr="00275357" w:rsidRDefault="00275357" w:rsidP="00275357">
      <w:pPr>
        <w:pStyle w:val="Caption"/>
        <w:keepNext/>
        <w:rPr>
          <w:i w:val="0"/>
          <w:iCs w:val="0"/>
          <w:color w:val="auto"/>
          <w:sz w:val="24"/>
          <w:szCs w:val="24"/>
        </w:rPr>
      </w:pPr>
      <w:r w:rsidRPr="00275357">
        <w:rPr>
          <w:i w:val="0"/>
          <w:iCs w:val="0"/>
          <w:color w:val="auto"/>
          <w:sz w:val="24"/>
          <w:szCs w:val="24"/>
        </w:rPr>
        <w:t>Schematic of display presented to the participant in one trial in each phase of the experiment.</w:t>
      </w:r>
    </w:p>
    <w:p w14:paraId="2C061613" w14:textId="0D3C7260" w:rsidR="00A102EA" w:rsidRDefault="0065639F" w:rsidP="00A102EA">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1C0A997D" w14:textId="4F108BC7" w:rsidR="00BF224C" w:rsidRDefault="00BF224C"/>
    <w:p w14:paraId="48CF36F8" w14:textId="0EDDB3B8" w:rsidR="000A078C" w:rsidRDefault="000A078C" w:rsidP="000A078C">
      <w:pPr>
        <w:pStyle w:val="Heading2"/>
        <w:ind w:firstLine="0"/>
      </w:pPr>
      <w:r>
        <w:t>Results</w:t>
      </w:r>
    </w:p>
    <w:p w14:paraId="6A445569" w14:textId="0C90EEA7" w:rsidR="003D0F63" w:rsidRDefault="00F33643" w:rsidP="003D0F63">
      <w:r>
        <w:tab/>
      </w:r>
      <w:r w:rsidR="0099799D">
        <w:t xml:space="preserve">To facilitate presentation of the analyses, we step through incremental elaborations of the response error model,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turn our attention to intrusions and compare a thresholded model without intrusions to a model with intrusions, and a model with intrusions and a threshold. Third, we introduce a more sophisticated intrusion component to the model that is sensitive to the similarity between items when determining individual pairwise intrusion probabilities. Finally, we repeat these steps with </w:t>
      </w:r>
      <w:r w:rsidR="0099799D">
        <w:t>the circular diffusion model.</w:t>
      </w:r>
    </w:p>
    <w:p w14:paraId="2F2033E4" w14:textId="3105F598" w:rsidR="00006759" w:rsidRPr="00006759" w:rsidRDefault="00006759" w:rsidP="00006759">
      <w:pPr>
        <w:pStyle w:val="Heading3"/>
      </w:pPr>
      <w:r w:rsidRPr="00006759">
        <w:t>Data Exclusion</w:t>
      </w:r>
    </w:p>
    <w:p w14:paraId="4CAB849C" w14:textId="3A2C9516" w:rsidR="00006759" w:rsidRPr="00006759" w:rsidRDefault="00006759" w:rsidP="003D0F63">
      <w:r>
        <w:rPr>
          <w:b/>
          <w:bCs/>
        </w:rPr>
        <w:tab/>
      </w:r>
      <w:r>
        <w:t xml:space="preserve">In addition to the rejection of two participants previously described under methodology, individual responses from the remaining participants with a response time of faster than 300 ms </w:t>
      </w:r>
      <w:r>
        <w:lastRenderedPageBreak/>
        <w:t>or slower than 7000 ms were also excluded from subsequent analyses. This resulted in the omission of 1.72% of data.</w:t>
      </w:r>
    </w:p>
    <w:p w14:paraId="149D44DE" w14:textId="6BFA677B" w:rsidR="00836CE7" w:rsidRPr="00836CE7" w:rsidRDefault="00836CE7" w:rsidP="00006759">
      <w:pPr>
        <w:pStyle w:val="Heading3"/>
      </w:pPr>
      <w:r>
        <w:t>Simultaneous vs Sequential Presentation</w:t>
      </w:r>
    </w:p>
    <w:p w14:paraId="7981ED97" w14:textId="41F2B110" w:rsidR="00836CE7" w:rsidRDefault="00836CE7" w:rsidP="00836CE7">
      <w:pPr>
        <w:ind w:firstLine="720"/>
      </w:pPr>
      <w:commentRangeStart w:id="9"/>
      <w:r>
        <w:rPr>
          <w:iCs/>
        </w:rPr>
        <w:t xml:space="preserve">With regard to performance in the source judgments, response error averaged within and compared between the simultaneous (M = .009, SD = 1.37) and sequential (M = .002, SD = 1.43) groups were not significantly different </w:t>
      </w:r>
      <w:r>
        <w:rPr>
          <w:i/>
        </w:rPr>
        <w:t>t</w:t>
      </w:r>
      <w:r>
        <w:t xml:space="preserve">(12460) = .28, </w:t>
      </w:r>
      <w:r>
        <w:rPr>
          <w:i/>
        </w:rPr>
        <w:t xml:space="preserve">p </w:t>
      </w:r>
      <w:r>
        <w:t>= .773</w:t>
      </w:r>
      <w:commentRangeEnd w:id="9"/>
      <w:r>
        <w:rPr>
          <w:rStyle w:val="CommentReference"/>
        </w:rPr>
        <w:commentReference w:id="9"/>
      </w:r>
      <w:r>
        <w:t>. This can be confirmed visually by comparing the distributions of response error in the two conditions (Figure</w:t>
      </w:r>
      <w:r w:rsidR="00275357">
        <w:t xml:space="preserve"> 2</w:t>
      </w:r>
      <w:r>
        <w:t>)</w:t>
      </w:r>
    </w:p>
    <w:p w14:paraId="19A3B10C" w14:textId="3727DC5A" w:rsidR="0075535E" w:rsidRPr="0075535E" w:rsidRDefault="0075535E" w:rsidP="0075535E">
      <w:pPr>
        <w:pStyle w:val="Caption"/>
        <w:keepNext/>
        <w:rPr>
          <w:color w:val="auto"/>
          <w:sz w:val="24"/>
          <w:szCs w:val="24"/>
        </w:rPr>
      </w:pPr>
      <w:r w:rsidRPr="0075535E">
        <w:rPr>
          <w:b/>
          <w:bCs/>
          <w:i w:val="0"/>
          <w:iCs w:val="0"/>
          <w:color w:val="auto"/>
          <w:sz w:val="24"/>
          <w:szCs w:val="24"/>
        </w:rPr>
        <w:t xml:space="preserve">Figure </w:t>
      </w:r>
      <w:r w:rsidRPr="0075535E">
        <w:rPr>
          <w:b/>
          <w:bCs/>
          <w:i w:val="0"/>
          <w:iCs w:val="0"/>
          <w:color w:val="auto"/>
          <w:sz w:val="24"/>
          <w:szCs w:val="24"/>
        </w:rPr>
        <w:fldChar w:fldCharType="begin"/>
      </w:r>
      <w:r w:rsidRPr="0075535E">
        <w:rPr>
          <w:b/>
          <w:bCs/>
          <w:i w:val="0"/>
          <w:iCs w:val="0"/>
          <w:color w:val="auto"/>
          <w:sz w:val="24"/>
          <w:szCs w:val="24"/>
        </w:rPr>
        <w:instrText xml:space="preserve"> SEQ Figure \* ARABIC </w:instrText>
      </w:r>
      <w:r w:rsidRPr="0075535E">
        <w:rPr>
          <w:b/>
          <w:bCs/>
          <w:i w:val="0"/>
          <w:iCs w:val="0"/>
          <w:color w:val="auto"/>
          <w:sz w:val="24"/>
          <w:szCs w:val="24"/>
        </w:rPr>
        <w:fldChar w:fldCharType="separate"/>
      </w:r>
      <w:r w:rsidR="00275357">
        <w:rPr>
          <w:b/>
          <w:bCs/>
          <w:i w:val="0"/>
          <w:iCs w:val="0"/>
          <w:noProof/>
          <w:color w:val="auto"/>
          <w:sz w:val="24"/>
          <w:szCs w:val="24"/>
        </w:rPr>
        <w:t>2</w:t>
      </w:r>
      <w:r w:rsidRPr="0075535E">
        <w:rPr>
          <w:b/>
          <w:bCs/>
          <w:i w:val="0"/>
          <w:iCs w:val="0"/>
          <w:color w:val="auto"/>
          <w:sz w:val="24"/>
          <w:szCs w:val="24"/>
        </w:rPr>
        <w:fldChar w:fldCharType="end"/>
      </w:r>
      <w:r w:rsidRPr="0075535E">
        <w:rPr>
          <w:color w:val="auto"/>
          <w:sz w:val="24"/>
          <w:szCs w:val="24"/>
        </w:rPr>
        <w:t xml:space="preserve"> </w:t>
      </w:r>
      <w:r w:rsidRPr="0075535E">
        <w:rPr>
          <w:color w:val="auto"/>
          <w:sz w:val="24"/>
          <w:szCs w:val="24"/>
        </w:rPr>
        <w:br/>
      </w:r>
      <w:r w:rsidRPr="0075535E">
        <w:rPr>
          <w:i w:val="0"/>
          <w:iCs w:val="0"/>
          <w:color w:val="auto"/>
          <w:sz w:val="24"/>
          <w:szCs w:val="24"/>
        </w:rPr>
        <w:t>Normalized Histograms of Source Error in Sequential and Simultaneous Presentation Conditions</w:t>
      </w:r>
    </w:p>
    <w:p w14:paraId="104C9AEE" w14:textId="5D112429" w:rsidR="00836CE7" w:rsidRPr="00836CE7" w:rsidRDefault="00836CE7" w:rsidP="00CD61EA">
      <w:r>
        <w:rPr>
          <w:noProof/>
        </w:rPr>
        <w:drawing>
          <wp:inline distT="0" distB="0" distL="0" distR="0" wp14:anchorId="2395927B" wp14:editId="1809F101">
            <wp:extent cx="6057582" cy="233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057582" cy="2330388"/>
                    </a:xfrm>
                    <a:prstGeom prst="rect">
                      <a:avLst/>
                    </a:prstGeom>
                  </pic:spPr>
                </pic:pic>
              </a:graphicData>
            </a:graphic>
          </wp:inline>
        </w:drawing>
      </w:r>
      <w:r w:rsidR="00361BA3" w:rsidRPr="00361BA3">
        <w:rPr>
          <w:noProof/>
        </w:rPr>
        <w:t xml:space="preserve"> </w:t>
      </w:r>
    </w:p>
    <w:p w14:paraId="1A0CE250" w14:textId="7D4665F5" w:rsidR="00836CE7" w:rsidRPr="00836CE7" w:rsidRDefault="00836CE7" w:rsidP="00CD61EA">
      <w:r>
        <w:rPr>
          <w:b/>
          <w:bCs/>
        </w:rPr>
        <w:tab/>
      </w:r>
      <w:r>
        <w:t xml:space="preserve">Subsequent modelling analyses were conducted on an individual level, and significance tests on resultant parameter estimates between the presentation conditions were also not significant. For the sake of brevity, these analyses are provided as supplementary material and commentary on the modelling will not make further reference to the presentation manipulation. </w:t>
      </w:r>
    </w:p>
    <w:p w14:paraId="34D8E71C" w14:textId="510DD0B7" w:rsidR="00836CE7" w:rsidRPr="00836CE7" w:rsidRDefault="00836CE7" w:rsidP="00006759">
      <w:pPr>
        <w:pStyle w:val="Heading3"/>
      </w:pPr>
      <w:r>
        <w:lastRenderedPageBreak/>
        <w:t>Model Comparisons</w:t>
      </w:r>
    </w:p>
    <w:p w14:paraId="1829B043" w14:textId="3E98AE0C" w:rsidR="000A078C" w:rsidRDefault="000A078C" w:rsidP="000A078C">
      <w:pPr>
        <w:pStyle w:val="Heading2"/>
        <w:ind w:firstLine="0"/>
      </w:pPr>
      <w:r>
        <w:t>Discussion</w:t>
      </w:r>
    </w:p>
    <w:p w14:paraId="61D9CAAA" w14:textId="49078785" w:rsidR="000122E9" w:rsidRPr="000122E9" w:rsidRDefault="000122E9" w:rsidP="000122E9">
      <w:r>
        <w:tab/>
        <w:t xml:space="preserve">Successive qualitative improvement in fits when intrusion probabilities were determined by temporal and spatiotemporal gradients. However, this was not reflected in quantitative fit statistics, in which marginal improvements in model likelihood with the temporal and spatiotemporal models were outweighed by the additional parameters entailed by those models. </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07E9C556" w:rsidR="000122E9" w:rsidRDefault="000A078C" w:rsidP="000A078C">
      <w:r>
        <w:tab/>
        <w:t xml:space="preserve">The method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59A1E226"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10"/>
      <w:r>
        <w:t>analyses</w:t>
      </w:r>
      <w:commentRangeEnd w:id="10"/>
      <w:r>
        <w:rPr>
          <w:rStyle w:val="CommentReference"/>
        </w:rPr>
        <w:commentReference w:id="10"/>
      </w:r>
      <w:r>
        <w:t>.</w:t>
      </w:r>
    </w:p>
    <w:p w14:paraId="326DBB26" w14:textId="4AF127E5" w:rsidR="000122E9" w:rsidRDefault="000122E9" w:rsidP="000122E9">
      <w:pPr>
        <w:pStyle w:val="Heading3"/>
      </w:pPr>
      <w:r>
        <w:t>Stimuli</w:t>
      </w:r>
    </w:p>
    <w:p w14:paraId="2094676B" w14:textId="055BF7E9" w:rsidR="000122E9" w:rsidRPr="000122E9" w:rsidRDefault="000122E9" w:rsidP="000122E9">
      <w:r>
        <w:tab/>
        <w:t>Words were sampled anew from the entire list each time</w:t>
      </w:r>
    </w:p>
    <w:p w14:paraId="3F85196C" w14:textId="34425FB7" w:rsidR="000122E9" w:rsidRDefault="000122E9" w:rsidP="000122E9">
      <w:pPr>
        <w:pStyle w:val="Heading3"/>
      </w:pPr>
      <w:r>
        <w:t>Procedure</w:t>
      </w:r>
    </w:p>
    <w:p w14:paraId="715EC08D" w14:textId="33C73DD1" w:rsidR="000122E9" w:rsidRPr="000122E9" w:rsidRDefault="000122E9" w:rsidP="000122E9">
      <w:r>
        <w:tab/>
        <w:t>Only simultaneous presentation. 10 sessions instead of three.</w:t>
      </w:r>
    </w:p>
    <w:p w14:paraId="4EC03568" w14:textId="794CE072" w:rsidR="000A078C" w:rsidRDefault="000A078C" w:rsidP="000A078C">
      <w:pPr>
        <w:pStyle w:val="Heading2"/>
        <w:ind w:firstLine="0"/>
      </w:pPr>
      <w:r>
        <w:lastRenderedPageBreak/>
        <w:t>Results</w:t>
      </w:r>
    </w:p>
    <w:p w14:paraId="154B5CD1" w14:textId="1DF93201" w:rsidR="000A078C" w:rsidRDefault="000A078C" w:rsidP="000A078C">
      <w:pPr>
        <w:pStyle w:val="Heading2"/>
        <w:ind w:firstLine="0"/>
      </w:pPr>
      <w:r>
        <w:t>Discussion</w:t>
      </w:r>
    </w:p>
    <w:p w14:paraId="7C00197D" w14:textId="05E13E7C" w:rsidR="000A078C" w:rsidRDefault="000A078C" w:rsidP="000A078C">
      <w:pPr>
        <w:pStyle w:val="Heading1"/>
      </w:pPr>
      <w:r>
        <w:t>General Discussion</w:t>
      </w:r>
    </w:p>
    <w:p w14:paraId="2D26DE1C" w14:textId="518FBB1E" w:rsidR="000122E9" w:rsidRDefault="000122E9" w:rsidP="000122E9">
      <w:pPr>
        <w:pStyle w:val="Heading2"/>
        <w:ind w:firstLine="0"/>
      </w:pPr>
      <w:r>
        <w:t>Mixture Models</w:t>
      </w:r>
    </w:p>
    <w:p w14:paraId="15CA3712" w14:textId="77777777" w:rsidR="000122E9" w:rsidRDefault="000122E9" w:rsidP="000122E9">
      <w:pPr>
        <w:pStyle w:val="NoSpacing"/>
      </w:pPr>
      <w:r>
        <w:tab/>
        <w:t>Ambiguity about the relative contribution of multiple components (i.e. is the decrease in overall intrusion probability over the serial position of the target item associated with an increased probability of the memory component or the guessing component in the model?)</w:t>
      </w:r>
    </w:p>
    <w:p w14:paraId="286BC527" w14:textId="49773080" w:rsidR="000122E9" w:rsidRDefault="000122E9" w:rsidP="000122E9">
      <w:pPr>
        <w:pStyle w:val="NoSpacing"/>
      </w:pPr>
    </w:p>
    <w:p w14:paraId="7C8C7557" w14:textId="58E92E49" w:rsidR="000122E9" w:rsidRDefault="000122E9" w:rsidP="000122E9">
      <w:pPr>
        <w:pStyle w:val="NoSpacing"/>
      </w:pPr>
      <w:r>
        <w:tab/>
        <w:t xml:space="preserve">It does not seem reasonable to expect that the proportion of guesses remains the same across serial positions, but we do not have a formal alternative model of guessing. To take an extreme example, we can consider a potential interaction between recognition and intrusion probability where items that are not recognized do not intrude. In a list where no items are recognized, </w:t>
      </w:r>
      <w:r w:rsidR="00846B61">
        <w:t>we would intuit that all responses should be guesses.</w:t>
      </w:r>
    </w:p>
    <w:p w14:paraId="04A192CB" w14:textId="77777777" w:rsidR="00846B61" w:rsidRDefault="00846B61" w:rsidP="000122E9">
      <w:pPr>
        <w:pStyle w:val="NoSpacing"/>
      </w:pPr>
    </w:p>
    <w:p w14:paraId="120A5920" w14:textId="09AF62BE" w:rsidR="000122E9" w:rsidRPr="000122E9" w:rsidRDefault="000122E9" w:rsidP="000122E9">
      <w:pPr>
        <w:pStyle w:val="NoSpacing"/>
      </w:pPr>
      <w:r>
        <w:t xml:space="preserve"> Need for a process model, like racing diffusion models, to address this ambiguity.</w:t>
      </w:r>
    </w:p>
    <w:sectPr w:rsidR="000122E9" w:rsidRPr="000122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son Zhou" w:date="2022-01-09T03:49:00Z" w:initials="JZ">
    <w:p w14:paraId="2F603571" w14:textId="357AEBB2" w:rsidR="000F4C88" w:rsidRDefault="000F4C88" w:rsidP="000F4C88">
      <w:pPr>
        <w:ind w:firstLine="720"/>
      </w:pPr>
      <w:r>
        <w:rPr>
          <w:rStyle w:val="CommentReference"/>
        </w:rPr>
        <w:annotationRef/>
      </w:r>
      <w:r>
        <w:t>Cut, not sure if needed (mechanism, phonological similarity sawtooth effect):</w:t>
      </w:r>
      <w:r>
        <w:br/>
      </w:r>
      <w:r>
        <w:br/>
      </w:r>
      <w:r>
        <w:t xml:space="preserve">Early modelling sought to explain this effect with two main types of mechanisms: associations between items and list position, and chains of items to item associations (Ebbinghaus, 1964; Wickelgren 1965). One challenge to chaining models was that Henson et al. (1996) were able to produce “sawtooth” patterns  by manipulating the phonological similarity of stimuli </w:t>
      </w:r>
    </w:p>
    <w:p w14:paraId="5478322B" w14:textId="3C032A92" w:rsidR="000F4C88" w:rsidRDefault="000F4C88" w:rsidP="000F4C88">
      <w:pPr>
        <w:pStyle w:val="CommentText"/>
      </w:pPr>
      <w:r>
        <w:br/>
      </w:r>
      <w:r>
        <w:t xml:space="preserve">this </w:t>
      </w:r>
      <w:r>
        <w:t>suggested the effect was not due to the inherent order of items, but to the confusability of items due to proximity in the presentation items, and that this confusability can be affected by other features of stimuli as well.</w:t>
      </w:r>
    </w:p>
  </w:comment>
  <w:comment w:id="3" w:author="Jason Zhou" w:date="2021-11-29T13:02:00Z" w:initials="JZ">
    <w:p w14:paraId="47368245" w14:textId="77777777" w:rsidR="00313AF7" w:rsidRDefault="00313AF7" w:rsidP="00313AF7">
      <w:pPr>
        <w:pStyle w:val="CommentText"/>
      </w:pPr>
      <w:r>
        <w:rPr>
          <w:rStyle w:val="CommentReference"/>
        </w:rPr>
        <w:annotationRef/>
      </w:r>
      <w:r>
        <w:t>Elaborate later</w:t>
      </w:r>
    </w:p>
  </w:comment>
  <w:comment w:id="4" w:author="Jason Zhou" w:date="2022-01-07T19:08:00Z" w:initials="JZ">
    <w:p w14:paraId="64D160EA" w14:textId="2C89DC91" w:rsidR="004751CC" w:rsidRDefault="004751CC">
      <w:pPr>
        <w:pStyle w:val="CommentText"/>
      </w:pPr>
      <w:r>
        <w:rPr>
          <w:rStyle w:val="CommentReference"/>
        </w:rPr>
        <w:annotationRef/>
      </w:r>
      <w:r>
        <w:t>Maybe should go in results, describe the models as we go</w:t>
      </w:r>
    </w:p>
  </w:comment>
  <w:comment w:id="5" w:author="Jason Zhou" w:date="2022-01-06T12:37:00Z" w:initials="JZ">
    <w:p w14:paraId="5BD5AF38" w14:textId="584FE880" w:rsidR="00454E54" w:rsidRDefault="00454E54">
      <w:pPr>
        <w:pStyle w:val="CommentText"/>
      </w:pPr>
      <w:r>
        <w:rPr>
          <w:rStyle w:val="CommentReference"/>
        </w:rPr>
        <w:annotationRef/>
      </w:r>
      <w:r>
        <w:t>Just a placeholder. Is this really needed or just clutter</w:t>
      </w:r>
    </w:p>
  </w:comment>
  <w:comment w:id="9" w:author="Jason Zhou" w:date="2021-12-22T16:24:00Z" w:initials="JZ">
    <w:p w14:paraId="517655DC" w14:textId="223ECAE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10" w:author="Jason Zhou [2]" w:date="2021-09-26T13:41:00Z" w:initials="JZ">
    <w:p w14:paraId="7D9B4062" w14:textId="04BA082E" w:rsidR="000122E9" w:rsidRDefault="000122E9">
      <w:pPr>
        <w:pStyle w:val="CommentText"/>
      </w:pPr>
      <w:r>
        <w:rPr>
          <w:rStyle w:val="CommentReference"/>
        </w:rPr>
        <w:annotationRef/>
      </w:r>
      <w:r>
        <w:t>Some justification of small n probably needed here, cite Smith and Little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78322B" w15:done="0"/>
  <w15:commentEx w15:paraId="47368245" w15:done="0"/>
  <w15:commentEx w15:paraId="64D160EA" w15:done="0"/>
  <w15:commentEx w15:paraId="5BD5AF38" w15:done="0"/>
  <w15:commentEx w15:paraId="517655DC" w15:done="0"/>
  <w15:commentEx w15:paraId="7D9B40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4D9B0" w16cex:dateUtc="2022-01-08T16:49:00Z"/>
  <w16cex:commentExtensible w16cex:durableId="254F4DFF" w16cex:dateUtc="2021-11-29T02:02:00Z"/>
  <w16cex:commentExtensible w16cex:durableId="25830E2C" w16cex:dateUtc="2022-01-07T08:08:00Z"/>
  <w16cex:commentExtensible w16cex:durableId="25816120" w16cex:dateUtc="2022-01-06T01:37:00Z"/>
  <w16cex:commentExtensible w16cex:durableId="256DCFB8" w16cex:dateUtc="2021-12-22T05:24:00Z"/>
  <w16cex:commentExtensible w16cex:durableId="24FAF705" w16cex:dateUtc="2021-09-26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78322B" w16cid:durableId="2584D9B0"/>
  <w16cid:commentId w16cid:paraId="47368245" w16cid:durableId="254F4DFF"/>
  <w16cid:commentId w16cid:paraId="64D160EA" w16cid:durableId="25830E2C"/>
  <w16cid:commentId w16cid:paraId="5BD5AF38" w16cid:durableId="25816120"/>
  <w16cid:commentId w16cid:paraId="517655DC" w16cid:durableId="256DCFB8"/>
  <w16cid:commentId w16cid:paraId="7D9B4062" w16cid:durableId="24FAF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EA47A" w14:textId="77777777" w:rsidR="005605EC" w:rsidRDefault="005605EC" w:rsidP="007E52C1">
      <w:pPr>
        <w:spacing w:line="240" w:lineRule="auto"/>
      </w:pPr>
      <w:r>
        <w:separator/>
      </w:r>
    </w:p>
  </w:endnote>
  <w:endnote w:type="continuationSeparator" w:id="0">
    <w:p w14:paraId="2D3A9822" w14:textId="77777777" w:rsidR="005605EC" w:rsidRDefault="005605EC"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5CCD1" w14:textId="77777777" w:rsidR="005605EC" w:rsidRDefault="005605EC" w:rsidP="007E52C1">
      <w:pPr>
        <w:spacing w:line="240" w:lineRule="auto"/>
      </w:pPr>
      <w:r>
        <w:separator/>
      </w:r>
    </w:p>
  </w:footnote>
  <w:footnote w:type="continuationSeparator" w:id="0">
    <w:p w14:paraId="6480D05D" w14:textId="77777777" w:rsidR="005605EC" w:rsidRDefault="005605EC"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03258"/>
    <w:rsid w:val="00006759"/>
    <w:rsid w:val="000122E9"/>
    <w:rsid w:val="0001696A"/>
    <w:rsid w:val="00036300"/>
    <w:rsid w:val="00045DC9"/>
    <w:rsid w:val="0005192E"/>
    <w:rsid w:val="00064CA3"/>
    <w:rsid w:val="00073F02"/>
    <w:rsid w:val="00074475"/>
    <w:rsid w:val="00084700"/>
    <w:rsid w:val="000A078C"/>
    <w:rsid w:val="000A44C7"/>
    <w:rsid w:val="000F3BC1"/>
    <w:rsid w:val="000F4C88"/>
    <w:rsid w:val="000F7F6D"/>
    <w:rsid w:val="0010500A"/>
    <w:rsid w:val="001545BE"/>
    <w:rsid w:val="00164B62"/>
    <w:rsid w:val="00181556"/>
    <w:rsid w:val="00190E61"/>
    <w:rsid w:val="00192FDE"/>
    <w:rsid w:val="00197896"/>
    <w:rsid w:val="001A2F6A"/>
    <w:rsid w:val="001B59ED"/>
    <w:rsid w:val="001C20D5"/>
    <w:rsid w:val="001E52A7"/>
    <w:rsid w:val="001F2A55"/>
    <w:rsid w:val="001F4D6B"/>
    <w:rsid w:val="00200E36"/>
    <w:rsid w:val="0024544B"/>
    <w:rsid w:val="00245987"/>
    <w:rsid w:val="002741AA"/>
    <w:rsid w:val="00275357"/>
    <w:rsid w:val="002858AF"/>
    <w:rsid w:val="002978EC"/>
    <w:rsid w:val="002B7130"/>
    <w:rsid w:val="002C15F7"/>
    <w:rsid w:val="002C1900"/>
    <w:rsid w:val="002D795C"/>
    <w:rsid w:val="002F3C8C"/>
    <w:rsid w:val="00304D59"/>
    <w:rsid w:val="00313AF7"/>
    <w:rsid w:val="00333A4E"/>
    <w:rsid w:val="003366BD"/>
    <w:rsid w:val="0035058F"/>
    <w:rsid w:val="00361BA3"/>
    <w:rsid w:val="003779D8"/>
    <w:rsid w:val="00386F94"/>
    <w:rsid w:val="003958DA"/>
    <w:rsid w:val="00397C93"/>
    <w:rsid w:val="003B66F4"/>
    <w:rsid w:val="003D0F63"/>
    <w:rsid w:val="003D6D9B"/>
    <w:rsid w:val="003E01A7"/>
    <w:rsid w:val="00405C1D"/>
    <w:rsid w:val="004110F3"/>
    <w:rsid w:val="00422C90"/>
    <w:rsid w:val="004244A4"/>
    <w:rsid w:val="00425F1B"/>
    <w:rsid w:val="0045042A"/>
    <w:rsid w:val="00454E54"/>
    <w:rsid w:val="00457875"/>
    <w:rsid w:val="004706E0"/>
    <w:rsid w:val="004751CC"/>
    <w:rsid w:val="0047737D"/>
    <w:rsid w:val="00481E8F"/>
    <w:rsid w:val="004A3EF5"/>
    <w:rsid w:val="004C1A8C"/>
    <w:rsid w:val="00501E59"/>
    <w:rsid w:val="005345B5"/>
    <w:rsid w:val="00536AA2"/>
    <w:rsid w:val="005445D1"/>
    <w:rsid w:val="005605EC"/>
    <w:rsid w:val="005966C0"/>
    <w:rsid w:val="005B623F"/>
    <w:rsid w:val="005C0F91"/>
    <w:rsid w:val="005F79E1"/>
    <w:rsid w:val="00624F1B"/>
    <w:rsid w:val="00646DE9"/>
    <w:rsid w:val="00652CC7"/>
    <w:rsid w:val="0065639F"/>
    <w:rsid w:val="00660E78"/>
    <w:rsid w:val="00667F96"/>
    <w:rsid w:val="00675C54"/>
    <w:rsid w:val="006764BD"/>
    <w:rsid w:val="00682D09"/>
    <w:rsid w:val="00684EFC"/>
    <w:rsid w:val="00686DE9"/>
    <w:rsid w:val="006A43F4"/>
    <w:rsid w:val="006B1265"/>
    <w:rsid w:val="006C49FF"/>
    <w:rsid w:val="006C660F"/>
    <w:rsid w:val="006C6F79"/>
    <w:rsid w:val="006C7D4A"/>
    <w:rsid w:val="006D6FA5"/>
    <w:rsid w:val="006E1CCD"/>
    <w:rsid w:val="006E2760"/>
    <w:rsid w:val="006F344A"/>
    <w:rsid w:val="00724BCA"/>
    <w:rsid w:val="00731F13"/>
    <w:rsid w:val="00743C42"/>
    <w:rsid w:val="0075535E"/>
    <w:rsid w:val="00795979"/>
    <w:rsid w:val="007A3E2B"/>
    <w:rsid w:val="007B2969"/>
    <w:rsid w:val="007D0C7C"/>
    <w:rsid w:val="007E52C1"/>
    <w:rsid w:val="007F31A0"/>
    <w:rsid w:val="00820EA2"/>
    <w:rsid w:val="00822C82"/>
    <w:rsid w:val="00830960"/>
    <w:rsid w:val="00836CE7"/>
    <w:rsid w:val="00837A33"/>
    <w:rsid w:val="00842DEA"/>
    <w:rsid w:val="00845FB8"/>
    <w:rsid w:val="00846B61"/>
    <w:rsid w:val="0085389E"/>
    <w:rsid w:val="00856E58"/>
    <w:rsid w:val="00866671"/>
    <w:rsid w:val="008702AA"/>
    <w:rsid w:val="0087325F"/>
    <w:rsid w:val="00884D09"/>
    <w:rsid w:val="008D438A"/>
    <w:rsid w:val="008F1972"/>
    <w:rsid w:val="0090158D"/>
    <w:rsid w:val="00976FAE"/>
    <w:rsid w:val="00982446"/>
    <w:rsid w:val="0099116D"/>
    <w:rsid w:val="0099799D"/>
    <w:rsid w:val="009A5F38"/>
    <w:rsid w:val="009D3F3A"/>
    <w:rsid w:val="009E3781"/>
    <w:rsid w:val="009F13F1"/>
    <w:rsid w:val="009F43EF"/>
    <w:rsid w:val="00A01291"/>
    <w:rsid w:val="00A102EA"/>
    <w:rsid w:val="00A15F84"/>
    <w:rsid w:val="00A16862"/>
    <w:rsid w:val="00A4021E"/>
    <w:rsid w:val="00A4169E"/>
    <w:rsid w:val="00A4336A"/>
    <w:rsid w:val="00A5457D"/>
    <w:rsid w:val="00A56C45"/>
    <w:rsid w:val="00A65056"/>
    <w:rsid w:val="00A82FDB"/>
    <w:rsid w:val="00AF5BA7"/>
    <w:rsid w:val="00B020C5"/>
    <w:rsid w:val="00B0786F"/>
    <w:rsid w:val="00B21DB0"/>
    <w:rsid w:val="00B23A09"/>
    <w:rsid w:val="00B36472"/>
    <w:rsid w:val="00B367F0"/>
    <w:rsid w:val="00B36CC3"/>
    <w:rsid w:val="00B40587"/>
    <w:rsid w:val="00B407EC"/>
    <w:rsid w:val="00B418C4"/>
    <w:rsid w:val="00B513F7"/>
    <w:rsid w:val="00B5196B"/>
    <w:rsid w:val="00B6538A"/>
    <w:rsid w:val="00B96A04"/>
    <w:rsid w:val="00BA0BD5"/>
    <w:rsid w:val="00BC58E1"/>
    <w:rsid w:val="00BE1D05"/>
    <w:rsid w:val="00BE415E"/>
    <w:rsid w:val="00BF0183"/>
    <w:rsid w:val="00BF0316"/>
    <w:rsid w:val="00BF224C"/>
    <w:rsid w:val="00BF5CB5"/>
    <w:rsid w:val="00C05590"/>
    <w:rsid w:val="00C200E9"/>
    <w:rsid w:val="00C22DA6"/>
    <w:rsid w:val="00C30187"/>
    <w:rsid w:val="00C45737"/>
    <w:rsid w:val="00C548D9"/>
    <w:rsid w:val="00CA17A7"/>
    <w:rsid w:val="00CB071F"/>
    <w:rsid w:val="00CB209E"/>
    <w:rsid w:val="00CC215E"/>
    <w:rsid w:val="00CD2247"/>
    <w:rsid w:val="00CD3AB8"/>
    <w:rsid w:val="00CD61EA"/>
    <w:rsid w:val="00CD78D3"/>
    <w:rsid w:val="00CE4DB3"/>
    <w:rsid w:val="00CF2571"/>
    <w:rsid w:val="00CF5FB9"/>
    <w:rsid w:val="00D02FC6"/>
    <w:rsid w:val="00D106F7"/>
    <w:rsid w:val="00D10A43"/>
    <w:rsid w:val="00D152AA"/>
    <w:rsid w:val="00D27E85"/>
    <w:rsid w:val="00D300FA"/>
    <w:rsid w:val="00D32D72"/>
    <w:rsid w:val="00D63E76"/>
    <w:rsid w:val="00D64C1C"/>
    <w:rsid w:val="00D679D5"/>
    <w:rsid w:val="00D769AA"/>
    <w:rsid w:val="00D97925"/>
    <w:rsid w:val="00DA1032"/>
    <w:rsid w:val="00DB512C"/>
    <w:rsid w:val="00DD1A69"/>
    <w:rsid w:val="00DF3B50"/>
    <w:rsid w:val="00E11FC8"/>
    <w:rsid w:val="00E20794"/>
    <w:rsid w:val="00E50E79"/>
    <w:rsid w:val="00E705CF"/>
    <w:rsid w:val="00E84818"/>
    <w:rsid w:val="00E9077B"/>
    <w:rsid w:val="00E91C0E"/>
    <w:rsid w:val="00E96738"/>
    <w:rsid w:val="00E96D11"/>
    <w:rsid w:val="00EB43F2"/>
    <w:rsid w:val="00EB7BDD"/>
    <w:rsid w:val="00EF0B1A"/>
    <w:rsid w:val="00EF6F5E"/>
    <w:rsid w:val="00F13A3A"/>
    <w:rsid w:val="00F16B07"/>
    <w:rsid w:val="00F251CB"/>
    <w:rsid w:val="00F32F0D"/>
    <w:rsid w:val="00F33643"/>
    <w:rsid w:val="00F36BD2"/>
    <w:rsid w:val="00F406B9"/>
    <w:rsid w:val="00F40860"/>
    <w:rsid w:val="00F420B0"/>
    <w:rsid w:val="00F45C52"/>
    <w:rsid w:val="00F65512"/>
    <w:rsid w:val="00F71986"/>
    <w:rsid w:val="00F86B45"/>
    <w:rsid w:val="00F86BFC"/>
    <w:rsid w:val="00F9144D"/>
    <w:rsid w:val="00FA2F0B"/>
    <w:rsid w:val="00FC4E0F"/>
    <w:rsid w:val="00FC5714"/>
    <w:rsid w:val="00FE6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DEE2F570-DF66-4F09-9CAC-4F2147FE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A102EA"/>
    <w:pPr>
      <w:spacing w:after="200" w:line="240" w:lineRule="auto"/>
    </w:pPr>
    <w:rPr>
      <w:i/>
      <w:iCs/>
      <w:color w:val="1F497D"/>
      <w:sz w:val="18"/>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18191</TotalTime>
  <Pages>17</Pages>
  <Words>3785</Words>
  <Characters>21577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9</cp:revision>
  <dcterms:created xsi:type="dcterms:W3CDTF">2021-12-14T06:28:00Z</dcterms:created>
  <dcterms:modified xsi:type="dcterms:W3CDTF">2022-01-08T17:15:00Z</dcterms:modified>
</cp:coreProperties>
</file>