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5EF8" w14:textId="68F802FB" w:rsidR="00CD3AB8" w:rsidRDefault="003958DA" w:rsidP="00CD3AB8">
      <w:pPr>
        <w:ind w:firstLine="720"/>
      </w:pPr>
      <w:r>
        <w:t xml:space="preserve">When we recall </w:t>
      </w:r>
      <w:proofErr w:type="gramStart"/>
      <w:r>
        <w:t>a past experience</w:t>
      </w:r>
      <w:proofErr w:type="gramEnd"/>
      <w:r>
        <w:t xml:space="preserv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proofErr w:type="spellStart"/>
      <w:r w:rsidR="00E20794">
        <w:t>Yonelinas</w:t>
      </w:r>
      <w:proofErr w:type="spellEnd"/>
      <w:r w:rsidR="00E20794">
        <w:t xml:space="preserve">, 1999; </w:t>
      </w:r>
      <w:proofErr w:type="spellStart"/>
      <w:r w:rsidR="00E20794">
        <w:t>Slotnick</w:t>
      </w:r>
      <w:proofErr w:type="spellEnd"/>
      <w:r w:rsidR="00E20794">
        <w:t xml:space="preserve"> &amp; Dodson, 2005; </w:t>
      </w:r>
      <w:proofErr w:type="spellStart"/>
      <w:r w:rsidR="00E20794">
        <w:t>Hautus</w:t>
      </w:r>
      <w:proofErr w:type="spellEnd"/>
      <w:r w:rsidR="00E20794">
        <w:t xml:space="preserve">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Models of </w:t>
      </w:r>
      <w:r w:rsidR="00304D59">
        <w:t xml:space="preserve">memory retrieval </w:t>
      </w:r>
      <w:r w:rsidR="00164B62">
        <w:t xml:space="preserve">as a continuous process, based upon Signal Detection Theory (SDT), </w:t>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w:t>
      </w:r>
      <w:proofErr w:type="gramStart"/>
      <w:r w:rsidR="00FC4E0F">
        <w:t>in order for</w:t>
      </w:r>
      <w:proofErr w:type="gramEnd"/>
      <w:r w:rsidR="00FC4E0F">
        <w:t xml:space="preserve">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0" w:name="_Hlk39517787"/>
      <w:r w:rsidR="006C49FF">
        <w:t xml:space="preserve">Batchelder &amp; </w:t>
      </w:r>
      <w:proofErr w:type="spellStart"/>
      <w:r w:rsidR="006C49FF">
        <w:t>Riefer</w:t>
      </w:r>
      <w:proofErr w:type="spellEnd"/>
      <w:r w:rsidR="006C49FF">
        <w:t>, 1990</w:t>
      </w:r>
      <w:bookmarkEnd w:id="0"/>
      <w:r w:rsidR="006C49FF">
        <w:t xml:space="preserve">; </w:t>
      </w:r>
      <w:bookmarkStart w:id="1" w:name="_Hlk39517791"/>
      <w:proofErr w:type="spellStart"/>
      <w:r w:rsidR="006C49FF">
        <w:t>Klauer</w:t>
      </w:r>
      <w:proofErr w:type="spellEnd"/>
      <w:r w:rsidR="006C49FF">
        <w:t xml:space="preserve"> &amp; Kellen, 2010</w:t>
      </w:r>
      <w:bookmarkEnd w:id="1"/>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Mander</w:t>
      </w:r>
      <w:proofErr w:type="spellEnd"/>
      <w:r w:rsidR="0087325F">
        <w:t xml:space="preserve">, 1980). </w:t>
      </w:r>
      <w:r w:rsidR="00682D09">
        <w:t>Specifically</w:t>
      </w:r>
      <w:r w:rsidR="0087325F">
        <w:t xml:space="preserve">, </w:t>
      </w:r>
      <w:r w:rsidR="00BF0316">
        <w:t xml:space="preserve">the two processes in </w:t>
      </w:r>
      <w:r w:rsidR="0087325F">
        <w:t xml:space="preserve">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r w:rsidR="00BF0316">
        <w:t>search process</w:t>
      </w:r>
      <w:r w:rsidR="00682D09">
        <w:t xml:space="preserve"> which is </w:t>
      </w:r>
      <w:proofErr w:type="spellStart"/>
      <w:r w:rsidR="00682D09">
        <w:lastRenderedPageBreak/>
        <w:t>thresholded</w:t>
      </w:r>
      <w:proofErr w:type="spellEnd"/>
      <w:r w:rsidR="00BF0316">
        <w:t>.</w:t>
      </w:r>
      <w:r w:rsidR="00682D09">
        <w:t xml:space="preserve"> </w:t>
      </w:r>
      <w:r w:rsidR="002858AF">
        <w:t xml:space="preserve">Successful recollection or familiarity can both contribute to </w:t>
      </w:r>
      <w:proofErr w:type="gramStart"/>
      <w:r w:rsidR="002858AF">
        <w:t>recognition, because</w:t>
      </w:r>
      <w:proofErr w:type="gramEnd"/>
      <w:r w:rsidR="002858AF">
        <w:t xml:space="preserve"> familiarity can distinguish between a studied and an unstudied item. On the other hand, familiarity does not distinguish between two items from different sources, which are both studied, and so the </w:t>
      </w:r>
      <w:proofErr w:type="spellStart"/>
      <w:r w:rsidR="002858AF">
        <w:t>Yonelinas</w:t>
      </w:r>
      <w:proofErr w:type="spellEnd"/>
      <w:r w:rsidR="002858AF">
        <w:t xml:space="preserve"> (1999) dual-process model predicts that source judgements should be </w:t>
      </w:r>
      <w:proofErr w:type="spellStart"/>
      <w:r w:rsidR="002858AF">
        <w:t>thresholded</w:t>
      </w:r>
      <w:proofErr w:type="spellEnd"/>
      <w:r w:rsidR="002858AF">
        <w:t xml:space="preserve"> as they can only be driven by recollection. </w:t>
      </w:r>
      <w:r w:rsidR="00EB7BDD">
        <w:t xml:space="preserve">This </w:t>
      </w:r>
      <w:proofErr w:type="gramStart"/>
      <w:r w:rsidR="00EB7BDD">
        <w:t>dual-process</w:t>
      </w:r>
      <w:proofErr w:type="gramEnd"/>
      <w:r w:rsidR="00EB7BDD">
        <w:t xml:space="preserve"> view of memory retrieval holds only if recollection, and therefore source memor</w:t>
      </w:r>
      <w:r w:rsidR="00E96738">
        <w:t>y performance</w:t>
      </w:r>
      <w:r w:rsidR="00EB7BDD">
        <w:t xml:space="preserve">, can be characterized as a </w:t>
      </w:r>
      <w:proofErr w:type="spellStart"/>
      <w:r w:rsidR="00EB7BDD">
        <w:t>thresholded</w:t>
      </w:r>
      <w:proofErr w:type="spellEnd"/>
      <w:r w:rsidR="00EB7BDD">
        <w:t xml:space="preserve"> process.</w:t>
      </w:r>
      <w:r w:rsidR="00CD3AB8">
        <w:t xml:space="preserve"> </w:t>
      </w:r>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4E2A9E84"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r w:rsidR="00C05590">
        <w:t>Continuous-outcome tasks were first used to study memory in the specific context of how visual working memory (VWM) representations change with the number of items stored in memory (Wilken &amp; Ma, 2004).</w:t>
      </w:r>
      <w:r w:rsidR="00F406B9">
        <w:t xml:space="preserve"> </w:t>
      </w:r>
      <w:r w:rsidR="00CD3AB8">
        <w:t xml:space="preserve">Just as the source memory literature has been concerned with </w:t>
      </w:r>
      <w:r w:rsidR="007E7907">
        <w:t>the question of retrieval thresholds</w:t>
      </w:r>
      <w:r w:rsidR="00CD3AB8">
        <w:t xml:space="preserve">, the </w:t>
      </w:r>
      <w:r w:rsidR="00CD3AB8">
        <w:lastRenderedPageBreak/>
        <w:t xml:space="preserve">VWM literature has historically grappled with whether storage capacity is determined by a discrete number of “slots” to be filled, or a continuous resource that can be distributed across an increasing number of items that are represented with decreasing resolution in memory. </w:t>
      </w:r>
      <w:r w:rsidR="006E2CF8">
        <w:t xml:space="preserve">In both cases, the </w:t>
      </w:r>
      <w:r w:rsidR="004C6AA3">
        <w:t>common</w:t>
      </w:r>
      <w:r w:rsidR="006E2CF8">
        <w:t xml:space="preserve"> question about the architecture of memory is i</w:t>
      </w:r>
      <w:r w:rsidR="007E7907">
        <w:t xml:space="preserve">f information is stored in discrete states.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734EBE20" w14:textId="0D7E1D0D" w:rsidR="001C20FF" w:rsidRDefault="002741AA" w:rsidP="000E00B0">
      <w:pPr>
        <w:ind w:firstLine="720"/>
      </w:pPr>
      <w:r>
        <w:t xml:space="preserve"> </w:t>
      </w:r>
      <w:r w:rsidR="00AF5BA7">
        <w:t>Applying a similar approach to source memory modelling,</w:t>
      </w:r>
      <w:r w:rsidR="00B36472">
        <w:t xml:space="preserve"> </w:t>
      </w:r>
      <w:proofErr w:type="gramStart"/>
      <w:r w:rsidR="00B36CC3">
        <w:t>Harlow</w:t>
      </w:r>
      <w:proofErr w:type="gramEnd"/>
      <w:r w:rsidR="00B36CC3">
        <w:t xml:space="preserve">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rsidR="00F45C52">
        <w:t xml:space="preserve"> </w:t>
      </w:r>
      <w:r w:rsidR="00D36464">
        <w:t xml:space="preserve">This analysis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 xml:space="preserve">memory is </w:t>
      </w:r>
      <w:proofErr w:type="gramStart"/>
      <w:r w:rsidR="00FC5714">
        <w:t>absent</w:t>
      </w:r>
      <w:proofErr w:type="gramEnd"/>
      <w:r w:rsidR="00FC5714">
        <w:t xml:space="preserve"> and the</w:t>
      </w:r>
      <w:r w:rsidR="00536AA2">
        <w:t xml:space="preserve"> response is a guess</w:t>
      </w:r>
      <w:r w:rsidR="00D125E7">
        <w:t xml:space="preserve">. </w:t>
      </w:r>
      <w:r w:rsidR="001C20FF">
        <w:t>To account for the role of decision-making processes in generating responses, Z</w:t>
      </w:r>
      <w:commentRangeStart w:id="2"/>
      <w:r w:rsidR="00DD5346">
        <w:t>hou et al. (2021) applied the circular diffusion model,</w:t>
      </w:r>
      <w:commentRangeEnd w:id="2"/>
      <w:r w:rsidR="00C15EA5">
        <w:rPr>
          <w:rStyle w:val="CommentReference"/>
        </w:rPr>
        <w:commentReference w:id="2"/>
      </w:r>
      <w:r w:rsidR="00DD5346">
        <w:t xml:space="preserve"> a model of decision-making in circular domains</w:t>
      </w:r>
      <w:r w:rsidR="00EE4EC3">
        <w:t xml:space="preserve">, </w:t>
      </w:r>
      <w:r w:rsidR="00DD5346">
        <w:t>which decomposes variability into that arising from memory and decision-making processes.</w:t>
      </w:r>
    </w:p>
    <w:p w14:paraId="0CEEA08D" w14:textId="1FACD1EF" w:rsidR="00EE4EC3" w:rsidRDefault="001C20FF" w:rsidP="001C20FF">
      <w:pPr>
        <w:pStyle w:val="Heading3"/>
      </w:pPr>
      <w:r>
        <w:lastRenderedPageBreak/>
        <w:t>Decision-Making</w:t>
      </w:r>
      <w:r w:rsidR="00DD5346">
        <w:t xml:space="preserve"> </w:t>
      </w:r>
      <w:r>
        <w:t>in Continuous-Outcome Tasks</w:t>
      </w:r>
    </w:p>
    <w:p w14:paraId="46FBE20D" w14:textId="3D6C9912" w:rsidR="001C20FF" w:rsidRPr="00C33EC8" w:rsidRDefault="001C20FF" w:rsidP="001C20FF">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effect of decision-making is critical to understanding the nature of memory retrieval (Ratcliff, 1978). Accounting for decision-making over time requires </w:t>
      </w:r>
      <w:r w:rsidR="00BE2469">
        <w:t>analysis of not only response outcome, but also response time (RT)</w:t>
      </w:r>
      <w:r w:rsidR="00340C27">
        <w:t xml:space="preserve"> data</w:t>
      </w:r>
      <w:r w:rsidR="004C6AA3">
        <w:t>, and considering both types of data yields more diagnostic information about the underlying cognitive processes</w:t>
      </w:r>
      <w:r w:rsidR="00BE2469">
        <w:t xml:space="preserve">. </w:t>
      </w:r>
      <w:r w:rsidR="00340C27">
        <w:t>The importance o</w:t>
      </w:r>
      <w:r w:rsidR="004C6AA3">
        <w:t xml:space="preserve">f modeling </w:t>
      </w:r>
      <w:r w:rsidR="00340C27">
        <w:t xml:space="preserve">decision-making is well illustrated in the recognition memory literature, where initial conclusions founded on the shape of ROC curves were later challenged by </w:t>
      </w:r>
      <w:r w:rsidR="001E1D8D">
        <w:t xml:space="preserve">including RT data in addition to the response proportions used to form ROCs (Ratcliff &amp; </w:t>
      </w:r>
      <w:proofErr w:type="spellStart"/>
      <w:r w:rsidR="001E1D8D">
        <w:t>Starns</w:t>
      </w:r>
      <w:proofErr w:type="spellEnd"/>
      <w:r w:rsidR="001E1D8D">
        <w:t xml:space="preserve">, 2009; </w:t>
      </w:r>
      <w:proofErr w:type="spellStart"/>
      <w:r w:rsidR="001E1D8D">
        <w:t>Starns</w:t>
      </w:r>
      <w:proofErr w:type="spellEnd"/>
      <w:r w:rsidR="001E1D8D">
        <w:t xml:space="preserve"> et al., 2012; Dube et al., 2013</w:t>
      </w:r>
      <w:r w:rsidR="004C6AA3">
        <w:t xml:space="preserve">; </w:t>
      </w:r>
      <w:proofErr w:type="spellStart"/>
      <w:r w:rsidR="004C6AA3">
        <w:t>Osth</w:t>
      </w:r>
      <w:proofErr w:type="spellEnd"/>
      <w:r w:rsidR="004C6AA3">
        <w:t xml:space="preserve"> et al., 2017</w:t>
      </w:r>
      <w:r w:rsidR="001E1D8D">
        <w:t xml:space="preserve">), and in </w:t>
      </w:r>
      <w:r w:rsidR="004C6AA3">
        <w:t xml:space="preserve">characterizing serial position effect in </w:t>
      </w:r>
      <w:r w:rsidR="001E1D8D">
        <w:t xml:space="preserve">free recall </w:t>
      </w:r>
      <w:r w:rsidR="004C6AA3">
        <w:t>(</w:t>
      </w:r>
      <w:proofErr w:type="spellStart"/>
      <w:r w:rsidR="004C6AA3">
        <w:t>Osth</w:t>
      </w:r>
      <w:proofErr w:type="spellEnd"/>
      <w:r w:rsidR="004C6AA3">
        <w:t xml:space="preserve"> &amp; Farrell, 2019).</w:t>
      </w:r>
      <w:r w:rsidR="000845E2">
        <w:t xml:space="preserve"> </w:t>
      </w:r>
    </w:p>
    <w:p w14:paraId="316DCD20" w14:textId="57934D86" w:rsidR="00C33EC8" w:rsidRDefault="004C6AA3" w:rsidP="004C6AA3">
      <w:r>
        <w:tab/>
        <w:t xml:space="preserve">A particularly influential account of decision-making is the diffusion decision model, which successfully explains </w:t>
      </w:r>
      <w:r w:rsidR="00F66CDA">
        <w:t xml:space="preserve">well-documented </w:t>
      </w:r>
      <w:r>
        <w:t>phenom</w:t>
      </w:r>
      <w:r w:rsidR="00F66CDA">
        <w:t>ena like the speed-accuracy trade-off, and slow and fast error patterns under different decision conditions (Ratcliff et al., 2016).</w:t>
      </w:r>
      <w:r w:rsidR="00C33EC8">
        <w:t xml:space="preserve"> The diffusion model describes decision-making as a noisy evidence accumulation process, the rate of which is defined as the </w:t>
      </w:r>
      <w:r w:rsidR="00C33EC8">
        <w:rPr>
          <w:i/>
          <w:iCs/>
        </w:rPr>
        <w:t>drift rate</w:t>
      </w:r>
      <w:r w:rsidR="00C33EC8">
        <w:t xml:space="preserve">, that accumulates until a response boundary or criterion that represents the amount of evidence required for a given response to be output (Ratcliff &amp; </w:t>
      </w:r>
      <w:proofErr w:type="spellStart"/>
      <w:r w:rsidR="00C33EC8">
        <w:t>McKoon</w:t>
      </w:r>
      <w:proofErr w:type="spellEnd"/>
      <w:r w:rsidR="00C33EC8">
        <w:t>, 2008).</w:t>
      </w:r>
      <w:r w:rsidR="0056749C">
        <w:t xml:space="preserve"> Variation in decision criteria can reflect response bias, for example, decision-making under speed emphasis can be represented with a lower criterion relative to </w:t>
      </w:r>
      <w:r w:rsidR="00FA2B3E">
        <w:t xml:space="preserve">emphasizing accuracy. Drift rate reflects the quality of evidence driving the decision </w:t>
      </w:r>
      <w:proofErr w:type="gramStart"/>
      <w:r w:rsidR="00FA2B3E">
        <w:t>process, and</w:t>
      </w:r>
      <w:proofErr w:type="gramEnd"/>
      <w:r w:rsidR="00FA2B3E">
        <w:t xml:space="preserve"> draws an explicit link between response accuracy and RT: higher drift rates result in higher accuracy and faster RTs, while lower drift rates result in lower accuracy and slower RTs (Ratcliff et al., 2015).</w:t>
      </w:r>
    </w:p>
    <w:p w14:paraId="21FF33D9" w14:textId="0AE7C27E" w:rsidR="000845E2" w:rsidRDefault="004E7D3C" w:rsidP="00FA2B3E">
      <w:pPr>
        <w:ind w:firstLine="720"/>
      </w:pPr>
      <w:r>
        <w:lastRenderedPageBreak/>
        <w:t xml:space="preserve">The circular diffusion model inherits the desirable explanatory qualities of the </w:t>
      </w:r>
      <w:r w:rsidR="000F1574">
        <w:t>standard two-choice diffusion model</w:t>
      </w:r>
      <w:r>
        <w:t xml:space="preserve"> and extends the model to</w:t>
      </w:r>
      <w:r w:rsidR="000F1574">
        <w:t xml:space="preserve"> a continuous response space by representing evidence accumulation as a vector in two-dimensional space that starts at the origin of a circle and terminates at a point in its circumference, which represents the decision outcome</w:t>
      </w:r>
      <w:r w:rsidR="000845E2">
        <w:t xml:space="preserve"> (Smith, 2016)</w:t>
      </w:r>
      <w:r w:rsidR="000F1574">
        <w:t>.</w:t>
      </w:r>
      <w:r w:rsidR="00FA2B3E">
        <w:t xml:space="preserve"> The introduction of the circular diffusion model addressed the </w:t>
      </w:r>
      <w:r>
        <w:t xml:space="preserve">lack of a formal model of RT and decision-making in continuous-outcome tasks, enabling use of the noted advantages of the paradigm over two-choice tasks in addition to RT modeling. </w:t>
      </w:r>
    </w:p>
    <w:p w14:paraId="353A08D8" w14:textId="77777777" w:rsidR="007239B9" w:rsidRDefault="004E7D3C" w:rsidP="004E7D3C">
      <w:pPr>
        <w:rPr>
          <w:rStyle w:val="math"/>
        </w:rPr>
      </w:pPr>
      <w:r>
        <w:tab/>
        <w:t xml:space="preserve">When the drift rate and the decision criterion are fixed across trials, </w:t>
      </w:r>
      <w:r w:rsidR="007239B9">
        <w:t>the circular diffusion model predicts that the distribution of decision outcomes falls along a von Mises distribution. The variability</w:t>
      </w:r>
      <w:r w:rsidR="001C20FF">
        <w:t xml:space="preserve"> of outcomes </w:t>
      </w:r>
      <w:r w:rsidR="007239B9">
        <w:t xml:space="preserve">in </w:t>
      </w:r>
      <w:r w:rsidR="001C20FF">
        <w:t>the von Mises distribution depends on a precision parameter, κ</w:t>
      </w:r>
      <w:r w:rsidR="007239B9">
        <w:t xml:space="preserve">, 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1278"/>
      </w:tblGrid>
      <w:tr w:rsidR="007239B9" w14:paraId="551A8B6B" w14:textId="77777777" w:rsidTr="007239B9">
        <w:tc>
          <w:tcPr>
            <w:tcW w:w="8298" w:type="dxa"/>
          </w:tcPr>
          <w:p w14:paraId="48CC69B6" w14:textId="0437FAED" w:rsidR="007239B9" w:rsidRPr="007239B9" w:rsidRDefault="007239B9" w:rsidP="004E7D3C">
            <w:pPr>
              <w:rPr>
                <w:rStyle w:val="math"/>
              </w:rPr>
            </w:pPr>
            <m:oMathPara>
              <m:oMathParaPr>
                <m:jc m:val="center"/>
              </m:oMathParaP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785B4305" w:rsidR="007239B9" w:rsidRDefault="007239B9" w:rsidP="004E7D3C">
      <w:r>
        <w:t xml:space="preserve">which defines a clear relationship between the strength of evidence and decision criterion in determining the observed distribution of responses. </w:t>
      </w:r>
    </w:p>
    <w:p w14:paraId="7FFE5D30" w14:textId="54D35830" w:rsidR="000E00B0" w:rsidRDefault="00803AD8" w:rsidP="000E00B0">
      <w:pPr>
        <w:ind w:firstLine="720"/>
      </w:pPr>
      <w:r>
        <w:t>T</w:t>
      </w:r>
      <w:r w:rsidR="00DD5346">
        <w:t xml:space="preserve">hrough across-trial variability decision-making, specifically drift variability in the circular diffusion model, </w:t>
      </w:r>
      <w:r w:rsidR="008153D5">
        <w:t>a single continuous process can produce distributions of response error 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r w:rsidR="00C15EA5">
        <w:t xml:space="preserve">By jointly fitting response error and response time (RT) and error data, Zhou et al. (2021) found that </w:t>
      </w:r>
      <w:proofErr w:type="spellStart"/>
      <w:r w:rsidR="00C15EA5">
        <w:t>thresholded</w:t>
      </w:r>
      <w:proofErr w:type="spellEnd"/>
      <w:r w:rsidR="00C15EA5">
        <w:t xml:space="preserve"> model with a uniform component was preferred over a continuous model with drift variability, corroborating the conclusions of Harlow and Donaldson (2013). </w:t>
      </w:r>
    </w:p>
    <w:p w14:paraId="569C336A" w14:textId="40B65279" w:rsidR="001E1180" w:rsidRDefault="001E1180" w:rsidP="001E1180">
      <w:pPr>
        <w:pStyle w:val="Heading2"/>
        <w:ind w:firstLine="0"/>
      </w:pPr>
      <w:r>
        <w:lastRenderedPageBreak/>
        <w:t xml:space="preserve">Non-target Responding </w:t>
      </w:r>
    </w:p>
    <w:p w14:paraId="7241DC08" w14:textId="171B7642" w:rsidR="00B3193A" w:rsidRDefault="00803AD8" w:rsidP="0076542F">
      <w:pPr>
        <w:ind w:firstLine="720"/>
      </w:pPr>
      <w:r>
        <w:t>In the VWM literature</w:t>
      </w:r>
      <w:r w:rsidR="00695A35">
        <w:t xml:space="preserve">, </w:t>
      </w:r>
      <w:r w:rsidR="007B6CC7">
        <w:t xml:space="preserve">the slots account of memory capacity proposed by Zhang and Luck (2008) is built upon the finding that a proportion of responses appear to be uniformly distributed and reflect random guessing. Bays et al. (2009) challenged this interpretation by arguing that confusions between </w:t>
      </w:r>
      <w:r w:rsidR="00BB64FF">
        <w:t>target and non-target items could also account for errors that appear uniform relative to the target item</w:t>
      </w:r>
      <w:r w:rsidR="00EC5A27">
        <w:t xml:space="preserve">. The authors </w:t>
      </w:r>
      <w:r w:rsidR="00BB64FF">
        <w:t xml:space="preserve">demonstrated that a model </w:t>
      </w:r>
      <w:r w:rsidR="00EC5A27">
        <w:t>incorporating probability d</w:t>
      </w:r>
      <w:r w:rsidR="00BB64FF">
        <w:t xml:space="preserve">istributions centered on the identity of each non-target item in the display accounted for the Zhang and Luck (2008) finding without </w:t>
      </w:r>
      <w:r w:rsidR="00B3193A">
        <w:t>a discrete limit on the number of items stored (this model is formally described below). Confusions between items</w:t>
      </w:r>
      <w:r w:rsidR="00500156">
        <w:t>, such that information about a non-target item is reported in place of the cued target,</w:t>
      </w:r>
      <w:r w:rsidR="00B3193A">
        <w:t xml:space="preserve"> </w:t>
      </w:r>
      <w:r w:rsidR="00500156">
        <w:t>result in</w:t>
      </w:r>
      <w:r w:rsidR="00B3193A">
        <w:t xml:space="preserve"> </w:t>
      </w:r>
      <w:r w:rsidR="00B3193A">
        <w:rPr>
          <w:i/>
          <w:iCs/>
        </w:rPr>
        <w:t>swap errors</w:t>
      </w:r>
      <w:r w:rsidR="00500156">
        <w:t>, and b</w:t>
      </w:r>
      <w:r w:rsidR="00B3193A">
        <w:t>ecause the possibility of these swaps can be confounded for variability in memory precision</w:t>
      </w:r>
      <w:r w:rsidR="00500156">
        <w:t xml:space="preserve">, disentangling these sources of error has been important in accurately characterizing VWM processes (Bays, 2016). </w:t>
      </w:r>
      <w:r w:rsidR="00AA57E0">
        <w:t>Study of memory for spatial location has found that errors were composed entirely of swap errors, with little evidence of guess responses (</w:t>
      </w:r>
      <w:proofErr w:type="spellStart"/>
      <w:r w:rsidR="00AA57E0">
        <w:t>Rajsic</w:t>
      </w:r>
      <w:proofErr w:type="spellEnd"/>
      <w:r w:rsidR="00AA57E0">
        <w:t xml:space="preserve"> &amp; Wilson, 2012, 2014; </w:t>
      </w:r>
      <w:proofErr w:type="spellStart"/>
      <w:r w:rsidR="00AA57E0">
        <w:t>Pertzov</w:t>
      </w:r>
      <w:proofErr w:type="spellEnd"/>
      <w:r w:rsidR="00AA57E0">
        <w:t xml:space="preserve"> et al., 2012). I</w:t>
      </w:r>
      <w:r w:rsidR="005F256E">
        <w:t>n this study, we apply the same logic to the continuous-outcome source memory task, asking to what extent mis-bindings between item identity and source location accounts for uniformity in the distribution of errors</w:t>
      </w:r>
      <w:r w:rsidR="00AB3E93">
        <w:t>,</w:t>
      </w:r>
      <w:r w:rsidR="005F256E">
        <w:t xml:space="preserve"> </w:t>
      </w:r>
      <w:r w:rsidR="00AB3E93">
        <w:t xml:space="preserve">and </w:t>
      </w:r>
      <w:r w:rsidR="005F256E">
        <w:t>by extension,</w:t>
      </w:r>
      <w:r w:rsidR="00AB3E93">
        <w:t xml:space="preserve"> challenges </w:t>
      </w:r>
      <w:r w:rsidR="005F256E">
        <w:t xml:space="preserve">the theoretical justification for a </w:t>
      </w:r>
      <w:proofErr w:type="spellStart"/>
      <w:r w:rsidR="005F256E">
        <w:t>thresholded</w:t>
      </w:r>
      <w:proofErr w:type="spellEnd"/>
      <w:r w:rsidR="005F256E">
        <w:t xml:space="preserve"> model of source memory retrieval.</w:t>
      </w:r>
    </w:p>
    <w:p w14:paraId="139488C9" w14:textId="6CD983A0" w:rsidR="00D125E7" w:rsidRDefault="00D125E7" w:rsidP="00D125E7">
      <w:pPr>
        <w:pStyle w:val="Heading3"/>
      </w:pPr>
      <w:r>
        <w:t xml:space="preserve">Contiguity Effects </w:t>
      </w:r>
    </w:p>
    <w:p w14:paraId="71DCC606" w14:textId="419A7665" w:rsidR="004C2911" w:rsidRDefault="005445D1" w:rsidP="004C2911">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w:t>
      </w:r>
      <w:r w:rsidR="0085389E">
        <w:lastRenderedPageBreak/>
        <w:t xml:space="preserve">various terms including </w:t>
      </w:r>
      <w:r w:rsidR="00845FB8">
        <w:rPr>
          <w:i/>
          <w:iCs/>
        </w:rPr>
        <w:t xml:space="preserve">binding, transposition, intrusion, </w:t>
      </w:r>
      <w:r w:rsidR="00845FB8">
        <w:t xml:space="preserve">and </w:t>
      </w:r>
      <w:r w:rsidR="00845FB8">
        <w:rPr>
          <w:i/>
          <w:iCs/>
        </w:rPr>
        <w:t>swap errors</w:t>
      </w:r>
      <w:r w:rsidR="00AB3E93">
        <w:rPr>
          <w:rStyle w:val="FootnoteReference"/>
          <w:i/>
          <w:iCs/>
        </w:rPr>
        <w:footnoteReference w:id="2"/>
      </w:r>
      <w:r w:rsidR="00845FB8">
        <w:t>, each reflectin</w:t>
      </w:r>
      <w:r w:rsidR="0085389E">
        <w:t>g</w:t>
      </w:r>
      <w:r w:rsidR="00845FB8">
        <w:t xml:space="preserve"> specific </w:t>
      </w:r>
      <w:r w:rsidR="0085389E">
        <w:t xml:space="preserve">properties of the </w:t>
      </w:r>
      <w:r w:rsidR="00845FB8">
        <w:t>tasks used to study the phenomenon (Bays, 2016).</w:t>
      </w:r>
      <w:r w:rsidR="00AB3E93">
        <w:t xml:space="preserve"> </w:t>
      </w:r>
      <w:r w:rsidR="00C91C7C">
        <w:t>Most explanations of non-target responding attribute the phenomenon to confusion between items that are similar (</w:t>
      </w:r>
      <w:proofErr w:type="spellStart"/>
      <w:r w:rsidR="00C91C7C">
        <w:t>Rerko</w:t>
      </w:r>
      <w:proofErr w:type="spellEnd"/>
      <w:r w:rsidR="00C91C7C">
        <w:t xml:space="preserve"> et al., 2014; Bays, 2016; </w:t>
      </w:r>
      <w:proofErr w:type="spellStart"/>
      <w:r w:rsidR="00C91C7C">
        <w:t>Oberauer</w:t>
      </w:r>
      <w:proofErr w:type="spellEnd"/>
      <w:r w:rsidR="00C91C7C">
        <w:t xml:space="preserve"> &amp; Lin, 2017; but see Pratte, 2018 for an alternative). In the continuous-outcome source memory paradigm, items may be similar in several ways, including the position of items in the study list, the spatial distance in the location of the items, as well as features of the words used as stimuli such as their semantic and orthographic similarity, the effects of which have been studied across the broader body of episodic memory research. </w:t>
      </w:r>
      <w:r w:rsidR="00AB3E93">
        <w:t xml:space="preserve">In the paragraphs to follow, we review the commonalities between findings across </w:t>
      </w:r>
      <w:r w:rsidR="00C91C7C">
        <w:t>different tasks, all of</w:t>
      </w:r>
      <w:r w:rsidR="00AB3E93">
        <w:t xml:space="preserve"> which motivate </w:t>
      </w:r>
      <w:r w:rsidR="00C91C7C">
        <w:t xml:space="preserve">the present </w:t>
      </w:r>
      <w:r w:rsidR="00AB3E93">
        <w:t>modelling of source memory.</w:t>
      </w:r>
      <w:r w:rsidR="0085389E">
        <w:t xml:space="preserve"> </w:t>
      </w:r>
    </w:p>
    <w:p w14:paraId="1A12D330" w14:textId="4BF71996" w:rsidR="00B74987" w:rsidRDefault="00B03691" w:rsidP="00B03691">
      <w:pPr>
        <w:ind w:firstLine="720"/>
      </w:pPr>
      <w:r>
        <w:t xml:space="preserve">The principle of </w:t>
      </w:r>
      <w:r>
        <w:rPr>
          <w:i/>
          <w:iCs/>
        </w:rPr>
        <w:t>temporal contiguity</w:t>
      </w:r>
      <w:r>
        <w:t xml:space="preserve"> is that events that occur close in time become associated with each other (for an </w:t>
      </w:r>
      <w:r w:rsidR="00B74987">
        <w:t>extensive</w:t>
      </w:r>
      <w:r>
        <w:t xml:space="preserve"> review of contiguity effects in episodic memory, see Healey et al., 2018). </w:t>
      </w:r>
      <w:r w:rsidR="00B74987">
        <w:t>In free-recall tasks, where</w:t>
      </w:r>
      <w:r>
        <w:t xml:space="preserve"> participants are asked to recall a list of items in any sequence</w:t>
      </w:r>
      <w:r w:rsidR="00B74987">
        <w:t xml:space="preserve"> they wish</w:t>
      </w:r>
      <w:r>
        <w:t xml:space="preserve">, </w:t>
      </w:r>
      <w:proofErr w:type="spellStart"/>
      <w:r>
        <w:t>Kahana</w:t>
      </w:r>
      <w:proofErr w:type="spellEnd"/>
      <w:r>
        <w:t xml:space="preserve"> (1996) demonstrated that after recalling a given item, the next item to be recalled tends to be a neighboring item in the study sequence. </w:t>
      </w:r>
      <w:r w:rsidR="00B74987">
        <w:t xml:space="preserve">The distance between item </w:t>
      </w:r>
      <w:proofErr w:type="spellStart"/>
      <w:r w:rsidR="00B74987">
        <w:rPr>
          <w:i/>
          <w:iCs/>
        </w:rPr>
        <w:t>i</w:t>
      </w:r>
      <w:proofErr w:type="spellEnd"/>
      <w:r w:rsidR="00B74987">
        <w:rPr>
          <w:i/>
          <w:iCs/>
        </w:rPr>
        <w:t xml:space="preserve"> </w:t>
      </w:r>
      <w:r w:rsidR="00B74987">
        <w:t xml:space="preserve">in the study list and another item in the list is known as the </w:t>
      </w:r>
      <w:r w:rsidR="00B74987">
        <w:rPr>
          <w:i/>
          <w:iCs/>
        </w:rPr>
        <w:t>lag</w:t>
      </w:r>
      <w:r w:rsidR="00E91755">
        <w:t xml:space="preserve">. </w:t>
      </w:r>
      <w:r>
        <w:t>Additionally, neighbors in the forwards direction</w:t>
      </w:r>
      <w:r w:rsidR="00B74987">
        <w:t xml:space="preserve"> (</w:t>
      </w:r>
      <w:proofErr w:type="spellStart"/>
      <w:r w:rsidR="00B74987">
        <w:rPr>
          <w:i/>
          <w:iCs/>
        </w:rPr>
        <w:t>i</w:t>
      </w:r>
      <w:proofErr w:type="spellEnd"/>
      <w:r w:rsidR="00B74987">
        <w:rPr>
          <w:i/>
          <w:iCs/>
        </w:rPr>
        <w:t xml:space="preserve"> </w:t>
      </w:r>
      <w:r w:rsidR="00B74987">
        <w:t>+ lag)</w:t>
      </w:r>
      <w:r>
        <w:t xml:space="preserve"> were more likely to follow an item than backwards neighbors</w:t>
      </w:r>
      <w:r w:rsidR="00B74987">
        <w:t xml:space="preserve"> (</w:t>
      </w:r>
      <w:proofErr w:type="spellStart"/>
      <w:r w:rsidR="00B74987">
        <w:rPr>
          <w:i/>
          <w:iCs/>
        </w:rPr>
        <w:t>i</w:t>
      </w:r>
      <w:proofErr w:type="spellEnd"/>
      <w:r w:rsidR="00B74987">
        <w:rPr>
          <w:i/>
          <w:iCs/>
        </w:rPr>
        <w:t xml:space="preserve"> </w:t>
      </w:r>
      <w:r w:rsidR="00B74987">
        <w:t>– lag)</w:t>
      </w:r>
      <w:r>
        <w:t xml:space="preserve">, referred to as forward asymmetry </w:t>
      </w:r>
      <w:r w:rsidR="00C71428">
        <w:t xml:space="preserve">in the contiguity effect </w:t>
      </w:r>
      <w:r>
        <w:t>(</w:t>
      </w:r>
      <w:proofErr w:type="spellStart"/>
      <w:r>
        <w:t>Kahana</w:t>
      </w:r>
      <w:proofErr w:type="spellEnd"/>
      <w:r>
        <w:t xml:space="preserve">, 1996). </w:t>
      </w:r>
      <w:r w:rsidR="00C71428">
        <w:t xml:space="preserve">The probability of transitioning to a given lag at recall is known as the lag-conditional response probability (lag-CRP), and the effect of increasing lag on this probability can be seen in Figure </w:t>
      </w:r>
      <w:r w:rsidR="003E0BBC">
        <w:t>1</w:t>
      </w:r>
      <w:r w:rsidR="00C71428">
        <w:t xml:space="preserve">. </w:t>
      </w:r>
    </w:p>
    <w:p w14:paraId="66DB08B8" w14:textId="19600BCE" w:rsidR="003E0BBC" w:rsidRDefault="003E0BBC" w:rsidP="003E0BBC">
      <w:pPr>
        <w:pStyle w:val="Caption"/>
        <w:keepNext/>
      </w:pPr>
      <w:r>
        <w:t xml:space="preserve">Figure </w:t>
      </w:r>
      <w:fldSimple w:instr=" SEQ Figure \* ARABIC ">
        <w:r w:rsidR="00BC16B0">
          <w:rPr>
            <w:noProof/>
          </w:rPr>
          <w:t>1</w:t>
        </w:r>
      </w:fldSimple>
    </w:p>
    <w:p w14:paraId="00DE04D4" w14:textId="51CDC1AC" w:rsidR="003E0BBC" w:rsidRPr="00700B87" w:rsidRDefault="00D656BF" w:rsidP="003E0BBC">
      <w:pPr>
        <w:rPr>
          <w:i/>
          <w:iCs/>
        </w:rPr>
      </w:pPr>
      <w:r>
        <w:rPr>
          <w:i/>
          <w:iCs/>
        </w:rPr>
        <w:t>Transition gradient seen in l</w:t>
      </w:r>
      <w:r w:rsidR="00700B87" w:rsidRPr="00700B87">
        <w:rPr>
          <w:i/>
          <w:iCs/>
        </w:rPr>
        <w:t>ag-CRP in free recall</w:t>
      </w:r>
    </w:p>
    <w:p w14:paraId="71BC1632" w14:textId="77777777" w:rsidR="003E0BBC" w:rsidRDefault="00C71428" w:rsidP="003E0BBC">
      <w:pPr>
        <w:keepNext/>
        <w:ind w:firstLine="720"/>
        <w:jc w:val="center"/>
      </w:pPr>
      <w:commentRangeStart w:id="3"/>
      <w:r>
        <w:rPr>
          <w:noProof/>
        </w:rPr>
        <w:lastRenderedPageBreak/>
        <w:drawing>
          <wp:inline distT="0" distB="0" distL="0" distR="0" wp14:anchorId="20952BD3" wp14:editId="1C175294">
            <wp:extent cx="2559538" cy="24955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stretch>
                      <a:fillRect/>
                    </a:stretch>
                  </pic:blipFill>
                  <pic:spPr>
                    <a:xfrm>
                      <a:off x="0" y="0"/>
                      <a:ext cx="2564640" cy="2500524"/>
                    </a:xfrm>
                    <a:prstGeom prst="rect">
                      <a:avLst/>
                    </a:prstGeom>
                  </pic:spPr>
                </pic:pic>
              </a:graphicData>
            </a:graphic>
          </wp:inline>
        </w:drawing>
      </w:r>
      <w:commentRangeEnd w:id="3"/>
    </w:p>
    <w:p w14:paraId="4C71EE9E" w14:textId="04A2B9BC" w:rsidR="00C71428" w:rsidRDefault="00C71428" w:rsidP="00C71428">
      <w:pPr>
        <w:ind w:firstLine="720"/>
        <w:jc w:val="center"/>
      </w:pPr>
      <w:r>
        <w:rPr>
          <w:rStyle w:val="CommentReference"/>
        </w:rPr>
        <w:commentReference w:id="3"/>
      </w:r>
    </w:p>
    <w:p w14:paraId="4105638B" w14:textId="0507E157" w:rsidR="00605CD2" w:rsidRDefault="00700B87" w:rsidP="006764A7">
      <w:pPr>
        <w:ind w:firstLine="720"/>
      </w:pPr>
      <w:r>
        <w:t xml:space="preserve">While associations between temporally contiguous items </w:t>
      </w:r>
      <w:r w:rsidR="001F66C8">
        <w:t xml:space="preserve">can facilitate </w:t>
      </w:r>
      <w:proofErr w:type="gramStart"/>
      <w:r w:rsidR="001F66C8">
        <w:t>free-recall</w:t>
      </w:r>
      <w:proofErr w:type="gramEnd"/>
      <w:r w:rsidR="001F66C8">
        <w:t xml:space="preserve">, the same </w:t>
      </w:r>
      <w:r w:rsidR="001622E5">
        <w:t>type</w:t>
      </w:r>
      <w:r w:rsidR="001F66C8">
        <w:t xml:space="preserve"> of association can contribute to errors in tasks whe</w:t>
      </w:r>
      <w:r w:rsidR="005502B6">
        <w:t>n</w:t>
      </w:r>
      <w:r w:rsidR="001F66C8">
        <w:t xml:space="preserve"> the sequence of items is important. Specifically, i</w:t>
      </w:r>
      <w:r>
        <w:t xml:space="preserve">n serial recall tasks, where subjects must call lists of items in the sequence in which they are given, a classic finding is that incorrect responses tend to be items studied near the target in the study sequence </w:t>
      </w:r>
      <w:commentRangeStart w:id="4"/>
      <w:r>
        <w:t>(Lee &amp; Estes, 1977</w:t>
      </w:r>
      <w:r w:rsidR="001F66C8">
        <w:t xml:space="preserve">; </w:t>
      </w:r>
      <w:proofErr w:type="spellStart"/>
      <w:r w:rsidR="001F66C8">
        <w:t>Nairne</w:t>
      </w:r>
      <w:proofErr w:type="spellEnd"/>
      <w:r w:rsidR="001F66C8">
        <w:t>, 1990</w:t>
      </w:r>
      <w:r>
        <w:t>).</w:t>
      </w:r>
      <w:commentRangeEnd w:id="4"/>
      <w:r>
        <w:rPr>
          <w:rStyle w:val="CommentReference"/>
        </w:rPr>
        <w:commentReference w:id="4"/>
      </w:r>
      <w:r>
        <w:t xml:space="preserve"> </w:t>
      </w:r>
      <w:r w:rsidR="00D656BF">
        <w:t>This effect can be described as a transposition of two items</w:t>
      </w:r>
      <w:r w:rsidR="00C26C43">
        <w:t xml:space="preserve">, so that the position of non-target items are swapped with that of the target item, and </w:t>
      </w:r>
      <w:r w:rsidR="00605CD2">
        <w:t xml:space="preserve">as in free-recall, the probability of a swap is </w:t>
      </w:r>
      <w:r w:rsidR="00DA61BC">
        <w:t xml:space="preserve">inversely </w:t>
      </w:r>
      <w:r w:rsidR="00605CD2">
        <w:t>related to the distance of the two items</w:t>
      </w:r>
      <w:r w:rsidR="00091E7E">
        <w:t xml:space="preserve"> (</w:t>
      </w:r>
      <w:r w:rsidR="00DA61BC">
        <w:t>Henson et al., 1996; Page &amp; Norris, 1998; Lewandowsky &amp; Farrell, 2008)</w:t>
      </w:r>
      <w:r w:rsidR="00605CD2">
        <w:t>.</w:t>
      </w:r>
      <w:r w:rsidR="00DA61BC">
        <w:t xml:space="preserve"> </w:t>
      </w:r>
      <w:r w:rsidR="00D656BF">
        <w:t xml:space="preserve">While early models explained this effect through a “chaining” process by which items were bound to each other in sequence, </w:t>
      </w:r>
      <w:r w:rsidR="006764A7">
        <w:t xml:space="preserve">more recent explanations argue that items are instead associated with representations of their serial position, and that these representations overlap so that an item can cue not only its position but that of its neighbors (Lewandowsky &amp; Farrell, 2008; </w:t>
      </w:r>
      <w:proofErr w:type="spellStart"/>
      <w:r w:rsidR="006764A7">
        <w:t>Rerko</w:t>
      </w:r>
      <w:proofErr w:type="spellEnd"/>
      <w:r w:rsidR="006764A7">
        <w:t xml:space="preserve"> et al., 2014). </w:t>
      </w:r>
      <w:r w:rsidR="00287A8A">
        <w:t>Applying the lag-CRP methodology</w:t>
      </w:r>
      <w:r w:rsidR="006764A7">
        <w:t xml:space="preserve"> to serial recall data</w:t>
      </w:r>
      <w:r w:rsidR="00A949D8">
        <w:t xml:space="preserve"> forms a </w:t>
      </w:r>
      <w:r w:rsidR="00A949D8" w:rsidRPr="006764A7">
        <w:rPr>
          <w:i/>
          <w:iCs/>
        </w:rPr>
        <w:t>transposition gradient</w:t>
      </w:r>
      <w:r w:rsidR="00A949D8">
        <w:t xml:space="preserve"> around the target location</w:t>
      </w:r>
      <w:r w:rsidR="006764A7">
        <w:t xml:space="preserve"> effect (</w:t>
      </w:r>
      <w:proofErr w:type="spellStart"/>
      <w:r w:rsidR="006764A7">
        <w:t>Kahana</w:t>
      </w:r>
      <w:proofErr w:type="spellEnd"/>
      <w:r w:rsidR="006764A7">
        <w:t xml:space="preserve"> &amp; Caplan, 2002; Solway et al., 2012)</w:t>
      </w:r>
      <w:r w:rsidR="00A949D8">
        <w:t>. L</w:t>
      </w:r>
      <w:r w:rsidR="00287A8A">
        <w:t xml:space="preserve">ike the shape of the lag-CRP curve in free recall, </w:t>
      </w:r>
      <w:r w:rsidR="00985420">
        <w:t xml:space="preserve">transposition gradients tend to </w:t>
      </w:r>
      <w:r w:rsidR="00287A8A">
        <w:t xml:space="preserve">exhibit a </w:t>
      </w:r>
      <w:proofErr w:type="gramStart"/>
      <w:r w:rsidR="00287A8A">
        <w:t>forwards</w:t>
      </w:r>
      <w:proofErr w:type="gramEnd"/>
      <w:r w:rsidR="00287A8A">
        <w:t xml:space="preserve"> asymmetry </w:t>
      </w:r>
      <w:r w:rsidR="00A949D8">
        <w:lastRenderedPageBreak/>
        <w:t xml:space="preserve">both in terms of </w:t>
      </w:r>
      <w:commentRangeStart w:id="5"/>
      <w:r w:rsidR="00A949D8">
        <w:t xml:space="preserve">transposition probability </w:t>
      </w:r>
      <w:commentRangeEnd w:id="5"/>
      <w:r w:rsidR="00985420">
        <w:rPr>
          <w:rStyle w:val="CommentReference"/>
        </w:rPr>
        <w:commentReference w:id="5"/>
      </w:r>
      <w:r w:rsidR="00287A8A">
        <w:t>(</w:t>
      </w:r>
      <w:r w:rsidR="001F66C8">
        <w:t>Klein et al.</w:t>
      </w:r>
      <w:r w:rsidR="00287A8A">
        <w:t>,</w:t>
      </w:r>
      <w:r w:rsidR="001F66C8">
        <w:t xml:space="preserve"> 2</w:t>
      </w:r>
      <w:r w:rsidR="00287A8A">
        <w:t>005</w:t>
      </w:r>
      <w:r w:rsidR="001622E5">
        <w:t xml:space="preserve">; </w:t>
      </w:r>
      <w:proofErr w:type="spellStart"/>
      <w:r w:rsidR="001622E5">
        <w:t>Haberlandt</w:t>
      </w:r>
      <w:proofErr w:type="spellEnd"/>
      <w:r w:rsidR="001622E5">
        <w:t xml:space="preserve"> et al., 2005</w:t>
      </w:r>
      <w:r w:rsidR="00A949D8">
        <w:rPr>
          <w:rStyle w:val="FootnoteReference"/>
        </w:rPr>
        <w:footnoteReference w:id="3"/>
      </w:r>
      <w:r w:rsidR="00287A8A">
        <w:t>)</w:t>
      </w:r>
      <w:r w:rsidR="00A949D8">
        <w:t xml:space="preserve"> as well as latency (Farrell &amp; Lewandowsky, 2004; Hurlstone &amp; Hitch, 2014)</w:t>
      </w:r>
      <w:r w:rsidR="00287A8A">
        <w:t>.</w:t>
      </w:r>
      <w:r w:rsidR="005C331C">
        <w:t xml:space="preserve"> </w:t>
      </w:r>
    </w:p>
    <w:p w14:paraId="14B908A1" w14:textId="4580E803" w:rsidR="005502B6" w:rsidRPr="00952EA2" w:rsidRDefault="005C331C" w:rsidP="005C331C">
      <w:pPr>
        <w:ind w:firstLine="720"/>
        <w:rPr>
          <w:i/>
          <w:iCs/>
        </w:rPr>
      </w:pPr>
      <w:r>
        <w:t xml:space="preserve">The temporal contiguity effect has also been observed in </w:t>
      </w:r>
      <w:commentRangeStart w:id="6"/>
      <w:r>
        <w:t>paired-associate recall</w:t>
      </w:r>
      <w:commentRangeEnd w:id="6"/>
      <w:r w:rsidR="00E4399E">
        <w:rPr>
          <w:rStyle w:val="CommentReference"/>
        </w:rPr>
        <w:commentReference w:id="6"/>
      </w:r>
      <w:r w:rsidR="00E4399E">
        <w:t xml:space="preserve">. </w:t>
      </w:r>
      <w:commentRangeStart w:id="7"/>
      <w:r w:rsidR="00F2208E">
        <w:t>After studying pairs of words, Davis et al. (2008) found that when participants recalled non-target items, the erroneous item</w:t>
      </w:r>
      <w:r w:rsidR="00605CD2">
        <w:t xml:space="preserve"> </w:t>
      </w:r>
      <w:r w:rsidR="00F2208E">
        <w:t>tended to be intrusions from temporally contiguous pairs.</w:t>
      </w:r>
      <w:r>
        <w:t xml:space="preserve"> </w:t>
      </w:r>
      <w:commentRangeEnd w:id="7"/>
      <w:r>
        <w:rPr>
          <w:rStyle w:val="CommentReference"/>
        </w:rPr>
        <w:commentReference w:id="7"/>
      </w:r>
      <w:r w:rsidR="00605CD2">
        <w:t xml:space="preserve"> </w:t>
      </w:r>
      <w:proofErr w:type="gramStart"/>
      <w:r w:rsidR="00985420">
        <w:t>One</w:t>
      </w:r>
      <w:proofErr w:type="gramEnd"/>
      <w:r w:rsidR="00985420">
        <w:t xml:space="preserve"> again following</w:t>
      </w:r>
      <w:r w:rsidR="00952EA2">
        <w:t xml:space="preserve"> the logic of lag-CRP analyses, t</w:t>
      </w:r>
      <w:r w:rsidR="005502B6">
        <w:t>he probability of an intrusion from pai</w:t>
      </w:r>
      <w:r w:rsidR="00952EA2">
        <w:t xml:space="preserve">r </w:t>
      </w:r>
      <w:proofErr w:type="spellStart"/>
      <w:r w:rsidR="00952EA2">
        <w:rPr>
          <w:i/>
          <w:iCs/>
        </w:rPr>
        <w:t>i</w:t>
      </w:r>
      <w:proofErr w:type="spellEnd"/>
      <w:r w:rsidR="00952EA2">
        <w:t xml:space="preserve"> + lag when cued with an item from pair </w:t>
      </w:r>
      <w:proofErr w:type="spellStart"/>
      <w:r w:rsidR="00952EA2">
        <w:rPr>
          <w:i/>
          <w:iCs/>
        </w:rPr>
        <w:t>i</w:t>
      </w:r>
      <w:proofErr w:type="spellEnd"/>
      <w:r w:rsidR="00952EA2">
        <w:rPr>
          <w:i/>
          <w:iCs/>
        </w:rPr>
        <w:t xml:space="preserve"> </w:t>
      </w:r>
      <w:r w:rsidR="00952EA2">
        <w:t>decreases with absolute lag, and is asymmetric in the forwards direction so that intrusion probability is greatest when lag = 1.</w:t>
      </w:r>
      <w:r w:rsidR="00952EA2">
        <w:rPr>
          <w:i/>
          <w:iCs/>
        </w:rPr>
        <w:t xml:space="preserve"> </w:t>
      </w:r>
    </w:p>
    <w:p w14:paraId="0885AC0C" w14:textId="12FF4E38" w:rsidR="00985420" w:rsidRDefault="005502B6" w:rsidP="00985420">
      <w:pPr>
        <w:ind w:firstLine="720"/>
      </w:pPr>
      <w:r>
        <w:t xml:space="preserve"> </w:t>
      </w:r>
      <w:r w:rsidR="00904A89">
        <w:t>Most recently and closely related to the present study,</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in binding between words and the locations along a circle in which they were presented</w:t>
      </w:r>
      <w:r w:rsidR="009D2B61">
        <w:t xml:space="preserve">. </w:t>
      </w:r>
      <w:proofErr w:type="gramStart"/>
      <w:r w:rsidR="00026CF5">
        <w:t>In particular, when</w:t>
      </w:r>
      <w:proofErr w:type="gramEnd"/>
      <w:r w:rsidR="00026CF5">
        <w:t xml:space="preserve"> participants made a mis-binding error, responses were not generated from a random non-target. </w:t>
      </w:r>
      <w:r w:rsidR="00904A89">
        <w:t>As with intrusions from paired words (Davis et al., 2008), 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r w:rsidR="001A0539">
        <w:t xml:space="preserve"> by</w:t>
      </w:r>
      <w:r w:rsidR="008F23C3">
        <w:t xml:space="preserve"> separately </w:t>
      </w:r>
      <w:r w:rsidR="001A0539">
        <w:t xml:space="preserve">estimating the probability that a response came from each of the locations in the study set. </w:t>
      </w:r>
      <w:r w:rsidR="00026CF5">
        <w:t xml:space="preserve">The authors demonstrated a contiguity effect by comparing the probability of mis-binding across lags </w:t>
      </w:r>
      <w:r w:rsidR="00B65541">
        <w:t>(</w:t>
      </w:r>
      <w:commentRangeStart w:id="8"/>
      <w:r w:rsidR="00B65541">
        <w:t>Popov et al., 2021</w:t>
      </w:r>
      <w:commentRangeEnd w:id="8"/>
      <w:r w:rsidR="00B65541">
        <w:rPr>
          <w:rStyle w:val="CommentReference"/>
        </w:rPr>
        <w:commentReference w:id="8"/>
      </w:r>
      <w:r w:rsidR="00B65541">
        <w:t xml:space="preserve">). </w:t>
      </w:r>
      <w:r w:rsidR="00026CF5">
        <w:t xml:space="preserve">The </w:t>
      </w:r>
      <w:r w:rsidR="001A0539">
        <w:t xml:space="preserve">present </w:t>
      </w:r>
      <w:r w:rsidR="00026CF5">
        <w:t>study</w:t>
      </w:r>
      <w:r w:rsidR="001A0539">
        <w:t xml:space="preserve"> aim</w:t>
      </w:r>
      <w:r w:rsidR="00026CF5">
        <w:t>s build upon this body of work</w:t>
      </w:r>
      <w:r w:rsidR="001A0539">
        <w:t xml:space="preserve"> </w:t>
      </w:r>
      <w:r w:rsidR="00B65541">
        <w:t xml:space="preserve">by </w:t>
      </w:r>
      <w:r w:rsidR="001A0539">
        <w:t>systematically model</w:t>
      </w:r>
      <w:r w:rsidR="00B65541">
        <w:t>ling</w:t>
      </w:r>
      <w:r w:rsidR="001A0539">
        <w:t xml:space="preserve"> the rate at which </w:t>
      </w:r>
      <w:commentRangeStart w:id="9"/>
      <w:r w:rsidR="001A0539">
        <w:t>intrusion probability decreases with lag.</w:t>
      </w:r>
      <w:r w:rsidR="009F0DE0">
        <w:t xml:space="preserve"> </w:t>
      </w:r>
      <w:r w:rsidR="00306751">
        <w:t xml:space="preserve"> </w:t>
      </w:r>
      <w:commentRangeEnd w:id="9"/>
      <w:r w:rsidR="008F23C3">
        <w:rPr>
          <w:rStyle w:val="CommentReference"/>
        </w:rPr>
        <w:commentReference w:id="9"/>
      </w:r>
    </w:p>
    <w:p w14:paraId="061FA958" w14:textId="2933EB1D" w:rsidR="00364BA9" w:rsidRDefault="00B9603C" w:rsidP="00364BA9">
      <w:r>
        <w:tab/>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w:t>
      </w:r>
      <w:proofErr w:type="spellStart"/>
      <w:r w:rsidR="009426BB">
        <w:t>Rerko</w:t>
      </w:r>
      <w:proofErr w:type="spellEnd"/>
      <w:r w:rsidR="009426BB">
        <w:t xml:space="preserve"> et al. (2014) refer to an </w:t>
      </w:r>
      <w:commentRangeStart w:id="10"/>
      <w:r w:rsidR="009426BB">
        <w:t xml:space="preserve">analogous effect </w:t>
      </w:r>
      <w:commentRangeEnd w:id="10"/>
      <w:r w:rsidR="00AA57E0">
        <w:rPr>
          <w:rStyle w:val="CommentReference"/>
        </w:rPr>
        <w:commentReference w:id="10"/>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proofErr w:type="spellStart"/>
      <w:r w:rsidR="00364BA9">
        <w:t>Emrich</w:t>
      </w:r>
      <w:proofErr w:type="spellEnd"/>
      <w:r w:rsidR="00364BA9">
        <w:t xml:space="preserve"> &amp; Ferber, 2012; Bays, 2016; </w:t>
      </w:r>
      <w:proofErr w:type="spellStart"/>
      <w:r w:rsidR="00364BA9">
        <w:t>Sahan</w:t>
      </w:r>
      <w:proofErr w:type="spellEnd"/>
      <w:r w:rsidR="00364BA9">
        <w:t xml:space="preserve"> et al., 2019)</w:t>
      </w:r>
      <w:r w:rsidR="009426BB">
        <w:t>.</w:t>
      </w:r>
      <w:r>
        <w:t xml:space="preserve"> </w:t>
      </w:r>
      <w:r w:rsidR="00AA57E0">
        <w:t xml:space="preserve">The link between </w:t>
      </w:r>
      <w:r>
        <w:t xml:space="preserve">swap errors in VWM </w:t>
      </w:r>
      <w:r>
        <w:lastRenderedPageBreak/>
        <w:t>and transposition errors in serial recall</w:t>
      </w:r>
      <w:r w:rsidR="00AA57E0">
        <w:t xml:space="preserve"> has been proposed to reflect a more general mechanism in memory by which items are bound to context dimensions (</w:t>
      </w:r>
      <w:proofErr w:type="spellStart"/>
      <w:r w:rsidR="00AA57E0">
        <w:t>Oberauer</w:t>
      </w:r>
      <w:proofErr w:type="spellEnd"/>
      <w:r w:rsidR="00AA57E0">
        <w:t xml:space="preserve"> &amp; Lin, 2017; </w:t>
      </w:r>
      <w:proofErr w:type="spellStart"/>
      <w:r w:rsidR="00AA57E0">
        <w:t>Schneegan</w:t>
      </w:r>
      <w:proofErr w:type="spellEnd"/>
      <w:r w:rsidR="00AA57E0">
        <w:t xml:space="preserve"> et al., in press).</w:t>
      </w:r>
    </w:p>
    <w:p w14:paraId="7D199181" w14:textId="416C6487" w:rsidR="00313AF7" w:rsidRDefault="00D125E7" w:rsidP="00D125E7">
      <w:pPr>
        <w:pStyle w:val="Heading3"/>
      </w:pPr>
      <w:r>
        <w:t>Source Memory for Associated Items</w:t>
      </w:r>
    </w:p>
    <w:p w14:paraId="76595CF7" w14:textId="4488C16E" w:rsidR="00D125E7" w:rsidRPr="00D125E7" w:rsidRDefault="00B315CA" w:rsidP="00EE4EC3">
      <w:pPr>
        <w:ind w:firstLine="720"/>
      </w:pPr>
      <w:r>
        <w:t xml:space="preserve">Many source memory paradigms, including that of the present study, use word stimuli in which </w:t>
      </w:r>
      <w:r w:rsidR="00C96F8B">
        <w:t>semantic associations are particularly salient.</w:t>
      </w:r>
      <w:r w:rsidR="00515693">
        <w:t xml:space="preserve"> The </w:t>
      </w:r>
      <w:proofErr w:type="spellStart"/>
      <w:r w:rsidR="00E0126C">
        <w:t>Deese</w:t>
      </w:r>
      <w:proofErr w:type="spellEnd"/>
      <w:r w:rsidR="00E0126C">
        <w:t>-Roediger-McDermott (</w:t>
      </w:r>
      <w:proofErr w:type="spellStart"/>
      <w:r w:rsidR="00E0126C">
        <w:t>Deese</w:t>
      </w:r>
      <w:proofErr w:type="spellEnd"/>
      <w:r w:rsidR="00E0126C">
        <w:t>, 1959; Roediger &amp; McDermott, 1995)</w:t>
      </w:r>
      <w:r w:rsidR="00515693">
        <w:t xml:space="preserve"> paradigm is an influential demonstration of how semantic association between words can result in false memory for non-presented words, known as critical lures. When asked to make source judgements for critical lures, p</w:t>
      </w:r>
      <w:r w:rsidR="00BD2C06">
        <w:t xml:space="preserve">articipants </w:t>
      </w:r>
      <w:r w:rsidR="00515693">
        <w:t>make</w:t>
      </w:r>
      <w:r w:rsidR="00BD2C06">
        <w:t xml:space="preserve"> source attributions </w:t>
      </w:r>
      <w:r w:rsidR="00515693">
        <w:t>with high confidence</w:t>
      </w:r>
      <w:r w:rsidR="00CD1D21">
        <w:t>, corresponding to the source of the semantically related words</w:t>
      </w:r>
      <w:r w:rsidR="00BD2C06">
        <w:t xml:space="preserve"> (</w:t>
      </w:r>
      <w:proofErr w:type="spellStart"/>
      <w:r w:rsidR="00BD2C06">
        <w:t>Lampinen</w:t>
      </w:r>
      <w:proofErr w:type="spellEnd"/>
      <w:r w:rsidR="00BD2C06">
        <w:t xml:space="preserve"> et al., 199</w:t>
      </w:r>
      <w:r w:rsidR="00515693">
        <w:t>9</w:t>
      </w:r>
      <w:r w:rsidR="00CD1D21">
        <w:t xml:space="preserve">; Gallo et al., 2001; Gallo &amp; Roediger, 2003; Roediger et al., 2004). Furthermore, </w:t>
      </w:r>
      <w:r w:rsidR="00917D6F">
        <w:t>when a list of semantically associated words is split between two sources such that one source presents the strongest associations and the other presents the weakest, critical lures are consistently attributed to the source with the stronger half (Hicks &amp; Hancock, 2002</w:t>
      </w:r>
      <w:r w:rsidR="00E0126C">
        <w:t xml:space="preserve">; Hicks &amp; </w:t>
      </w:r>
      <w:proofErr w:type="spellStart"/>
      <w:r w:rsidR="00E0126C">
        <w:t>Starns</w:t>
      </w:r>
      <w:proofErr w:type="spellEnd"/>
      <w:r w:rsidR="00E0126C">
        <w:t>, 2006</w:t>
      </w:r>
      <w:r w:rsidR="00917D6F">
        <w:t>).</w:t>
      </w:r>
      <w:r w:rsidR="00BB3DEA">
        <w:t xml:space="preserve"> </w:t>
      </w:r>
      <w:proofErr w:type="gramStart"/>
      <w:r w:rsidR="008B2A04">
        <w:t>Similarly</w:t>
      </w:r>
      <w:proofErr w:type="gramEnd"/>
      <w:r w:rsidR="008B2A04">
        <w:t xml:space="preserve"> to how temporal and spatial similarity affect transposition and swap errors in a graded fashion, the present study investigates if the degree of semantic similarity between words used as cues in the source memory task affects the probability of intrusions between item-source pairs. </w:t>
      </w:r>
      <w:r w:rsidR="00A07395">
        <w:t xml:space="preserve">While research about the effect of orthographic similarity on source attributions is scarce, orthography has established to </w:t>
      </w:r>
      <w:proofErr w:type="gramStart"/>
      <w:r w:rsidR="00A07395">
        <w:t>have an effect on</w:t>
      </w:r>
      <w:proofErr w:type="gramEnd"/>
      <w:r w:rsidR="00A07395">
        <w:t xml:space="preserve"> rates of false memory</w:t>
      </w:r>
      <w:r w:rsidR="00EE4EC3">
        <w:t>, and the p</w:t>
      </w:r>
      <w:commentRangeStart w:id="11"/>
      <w:r w:rsidR="00BB3DEA">
        <w:t xml:space="preserve">rocessing of semantic information is simultaneously integrated with orthographic information multiplicatively in </w:t>
      </w:r>
      <w:r w:rsidR="008B2A04">
        <w:t>memory retrieval (</w:t>
      </w:r>
      <w:r w:rsidR="00EE4EC3">
        <w:t xml:space="preserve">Massaro et al., 1991; </w:t>
      </w:r>
      <w:proofErr w:type="spellStart"/>
      <w:r w:rsidR="00EE4EC3">
        <w:t>Nieznański</w:t>
      </w:r>
      <w:proofErr w:type="spellEnd"/>
      <w:r w:rsidR="00EE4EC3">
        <w:t xml:space="preserve"> et al., 2019</w:t>
      </w:r>
      <w:r w:rsidR="008B2A04">
        <w:t xml:space="preserve">), </w:t>
      </w:r>
      <w:commentRangeEnd w:id="11"/>
      <w:r w:rsidR="008B2A04">
        <w:rPr>
          <w:rStyle w:val="CommentReference"/>
        </w:rPr>
        <w:commentReference w:id="11"/>
      </w:r>
    </w:p>
    <w:p w14:paraId="77EE1459" w14:textId="4978A3FC" w:rsidR="00E96D11" w:rsidRDefault="00E96D11" w:rsidP="00E96D11">
      <w:pPr>
        <w:pStyle w:val="Heading2"/>
        <w:ind w:firstLine="0"/>
      </w:pPr>
      <w:commentRangeStart w:id="12"/>
      <w:r>
        <w:t>Description of Models</w:t>
      </w:r>
      <w:commentRangeEnd w:id="12"/>
      <w:r w:rsidR="004751CC">
        <w:rPr>
          <w:rStyle w:val="CommentReference"/>
          <w:b w:val="0"/>
        </w:rPr>
        <w:commentReference w:id="12"/>
      </w:r>
    </w:p>
    <w:p w14:paraId="30FCBC24" w14:textId="61661DCC" w:rsidR="001D333F" w:rsidRDefault="001D333F" w:rsidP="001D333F">
      <w:pPr>
        <w:pStyle w:val="Caption"/>
      </w:pPr>
      <w:r>
        <w:t>Table 1</w:t>
      </w:r>
    </w:p>
    <w:p w14:paraId="259218D7" w14:textId="4C4ADE99" w:rsidR="001D333F" w:rsidRPr="001D333F" w:rsidRDefault="001D333F" w:rsidP="001D333F">
      <w:pPr>
        <w:rPr>
          <w:i/>
          <w:iCs/>
        </w:rPr>
      </w:pPr>
      <w:r>
        <w:rPr>
          <w:i/>
          <w:iCs/>
        </w:rPr>
        <w:lastRenderedPageBreak/>
        <w:t>Summary of models</w:t>
      </w:r>
    </w:p>
    <w:tbl>
      <w:tblPr>
        <w:tblStyle w:val="PlainTable2"/>
        <w:tblW w:w="0" w:type="auto"/>
        <w:tblLook w:val="04A0" w:firstRow="1" w:lastRow="0" w:firstColumn="1" w:lastColumn="0" w:noHBand="0" w:noVBand="1"/>
      </w:tblPr>
      <w:tblGrid>
        <w:gridCol w:w="3192"/>
        <w:gridCol w:w="3192"/>
        <w:gridCol w:w="3192"/>
      </w:tblGrid>
      <w:tr w:rsidR="0099116D" w14:paraId="1EC37B05" w14:textId="77777777" w:rsidTr="00991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47ECB6C7" w14:textId="4538611E" w:rsidR="0099116D" w:rsidRDefault="0099116D" w:rsidP="0099116D">
            <w:pPr>
              <w:jc w:val="center"/>
            </w:pPr>
            <w:r>
              <w:t>Model</w:t>
            </w:r>
          </w:p>
        </w:tc>
        <w:tc>
          <w:tcPr>
            <w:tcW w:w="3192" w:type="dxa"/>
            <w:tcBorders>
              <w:top w:val="single" w:sz="4" w:space="0" w:color="auto"/>
              <w:bottom w:val="single" w:sz="4" w:space="0" w:color="auto"/>
            </w:tcBorders>
          </w:tcPr>
          <w:p w14:paraId="5F2CC0EA" w14:textId="641586BB"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Guessing</w:t>
            </w:r>
          </w:p>
        </w:tc>
        <w:tc>
          <w:tcPr>
            <w:tcW w:w="3192" w:type="dxa"/>
            <w:tcBorders>
              <w:top w:val="single" w:sz="4" w:space="0" w:color="auto"/>
              <w:bottom w:val="single" w:sz="4" w:space="0" w:color="auto"/>
            </w:tcBorders>
          </w:tcPr>
          <w:p w14:paraId="52F1BBEE" w14:textId="45E2B3CF"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Intrusion</w:t>
            </w:r>
            <w:r w:rsidR="001D333F">
              <w:t xml:space="preserve"> Gradient</w:t>
            </w:r>
          </w:p>
        </w:tc>
      </w:tr>
      <w:tr w:rsidR="0099116D" w14:paraId="54201291"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nil"/>
            </w:tcBorders>
          </w:tcPr>
          <w:p w14:paraId="4C533553" w14:textId="65638BA8" w:rsidR="0099116D" w:rsidRPr="0099116D" w:rsidRDefault="0099116D" w:rsidP="0099116D">
            <w:pPr>
              <w:jc w:val="center"/>
              <w:rPr>
                <w:b w:val="0"/>
                <w:bCs w:val="0"/>
              </w:rPr>
            </w:pPr>
            <w:r w:rsidRPr="0099116D">
              <w:rPr>
                <w:b w:val="0"/>
                <w:bCs w:val="0"/>
              </w:rPr>
              <w:t>1</w:t>
            </w:r>
          </w:p>
        </w:tc>
        <w:tc>
          <w:tcPr>
            <w:tcW w:w="3192" w:type="dxa"/>
            <w:tcBorders>
              <w:top w:val="single" w:sz="4" w:space="0" w:color="auto"/>
              <w:bottom w:val="nil"/>
            </w:tcBorders>
          </w:tcPr>
          <w:p w14:paraId="2F318812" w14:textId="18237D36"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single" w:sz="4" w:space="0" w:color="auto"/>
              <w:bottom w:val="nil"/>
            </w:tcBorders>
          </w:tcPr>
          <w:p w14:paraId="1A3DE8FE" w14:textId="55ADCE21" w:rsidR="0099116D" w:rsidRDefault="0099116D" w:rsidP="0099116D">
            <w:pPr>
              <w:cnfStyle w:val="000000100000" w:firstRow="0" w:lastRow="0" w:firstColumn="0" w:lastColumn="0" w:oddVBand="0" w:evenVBand="0" w:oddHBand="1" w:evenHBand="0" w:firstRowFirstColumn="0" w:firstRowLastColumn="0" w:lastRowFirstColumn="0" w:lastRowLastColumn="0"/>
            </w:pPr>
            <w:r>
              <w:t>None</w:t>
            </w:r>
          </w:p>
        </w:tc>
      </w:tr>
      <w:tr w:rsidR="0099116D" w14:paraId="6664B506"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D752AA7" w14:textId="36F18E7D" w:rsidR="0099116D" w:rsidRPr="0099116D" w:rsidRDefault="0099116D" w:rsidP="0099116D">
            <w:pPr>
              <w:jc w:val="center"/>
              <w:rPr>
                <w:b w:val="0"/>
                <w:bCs w:val="0"/>
              </w:rPr>
            </w:pPr>
            <w:r w:rsidRPr="0099116D">
              <w:rPr>
                <w:b w:val="0"/>
                <w:bCs w:val="0"/>
              </w:rPr>
              <w:t>2</w:t>
            </w:r>
          </w:p>
        </w:tc>
        <w:tc>
          <w:tcPr>
            <w:tcW w:w="3192" w:type="dxa"/>
            <w:tcBorders>
              <w:top w:val="nil"/>
              <w:bottom w:val="nil"/>
            </w:tcBorders>
          </w:tcPr>
          <w:p w14:paraId="42F22AAD" w14:textId="724AE9DD"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No</w:t>
            </w:r>
          </w:p>
        </w:tc>
        <w:tc>
          <w:tcPr>
            <w:tcW w:w="3192" w:type="dxa"/>
            <w:tcBorders>
              <w:top w:val="nil"/>
              <w:bottom w:val="nil"/>
            </w:tcBorders>
          </w:tcPr>
          <w:p w14:paraId="5F5BF8CD" w14:textId="1F4B4F69" w:rsidR="0099116D" w:rsidRDefault="0099116D" w:rsidP="0099116D">
            <w:pPr>
              <w:cnfStyle w:val="000000000000" w:firstRow="0" w:lastRow="0" w:firstColumn="0" w:lastColumn="0" w:oddVBand="0" w:evenVBand="0" w:oddHBand="0" w:evenHBand="0" w:firstRowFirstColumn="0" w:firstRowLastColumn="0" w:lastRowFirstColumn="0" w:lastRowLastColumn="0"/>
            </w:pPr>
            <w:r>
              <w:t>Flat</w:t>
            </w:r>
          </w:p>
        </w:tc>
      </w:tr>
      <w:tr w:rsidR="0099116D" w14:paraId="5EE1D7C6"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40819E3E" w14:textId="6BF41ECF" w:rsidR="0099116D" w:rsidRPr="0099116D" w:rsidRDefault="0099116D" w:rsidP="0099116D">
            <w:pPr>
              <w:jc w:val="center"/>
              <w:rPr>
                <w:b w:val="0"/>
                <w:bCs w:val="0"/>
              </w:rPr>
            </w:pPr>
            <w:r w:rsidRPr="0099116D">
              <w:rPr>
                <w:b w:val="0"/>
                <w:bCs w:val="0"/>
              </w:rPr>
              <w:t>3</w:t>
            </w:r>
          </w:p>
        </w:tc>
        <w:tc>
          <w:tcPr>
            <w:tcW w:w="3192" w:type="dxa"/>
            <w:tcBorders>
              <w:top w:val="nil"/>
              <w:bottom w:val="nil"/>
            </w:tcBorders>
          </w:tcPr>
          <w:p w14:paraId="47A07C0D" w14:textId="1BA8E3F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72C3DC28" w14:textId="6815E146" w:rsidR="0099116D" w:rsidRDefault="0099116D" w:rsidP="0099116D">
            <w:pPr>
              <w:cnfStyle w:val="000000100000" w:firstRow="0" w:lastRow="0" w:firstColumn="0" w:lastColumn="0" w:oddVBand="0" w:evenVBand="0" w:oddHBand="1" w:evenHBand="0" w:firstRowFirstColumn="0" w:firstRowLastColumn="0" w:lastRowFirstColumn="0" w:lastRowLastColumn="0"/>
            </w:pPr>
            <w:r>
              <w:t>Flat</w:t>
            </w:r>
          </w:p>
        </w:tc>
      </w:tr>
      <w:tr w:rsidR="0099116D" w14:paraId="4B5A5E4E"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191FC0D7" w14:textId="0F4EDD65" w:rsidR="0099116D" w:rsidRPr="0099116D" w:rsidRDefault="0099116D" w:rsidP="0099116D">
            <w:pPr>
              <w:jc w:val="center"/>
              <w:rPr>
                <w:b w:val="0"/>
                <w:bCs w:val="0"/>
              </w:rPr>
            </w:pPr>
            <w:r w:rsidRPr="0099116D">
              <w:rPr>
                <w:b w:val="0"/>
                <w:bCs w:val="0"/>
              </w:rPr>
              <w:t>4</w:t>
            </w:r>
          </w:p>
        </w:tc>
        <w:tc>
          <w:tcPr>
            <w:tcW w:w="3192" w:type="dxa"/>
            <w:tcBorders>
              <w:top w:val="nil"/>
              <w:bottom w:val="nil"/>
            </w:tcBorders>
          </w:tcPr>
          <w:p w14:paraId="7235BFE2" w14:textId="5925F908"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nil"/>
            </w:tcBorders>
          </w:tcPr>
          <w:p w14:paraId="130F41C2" w14:textId="622DD5C8" w:rsidR="0099116D" w:rsidRDefault="0099116D" w:rsidP="0099116D">
            <w:pPr>
              <w:cnfStyle w:val="000000000000" w:firstRow="0" w:lastRow="0" w:firstColumn="0" w:lastColumn="0" w:oddVBand="0" w:evenVBand="0" w:oddHBand="0" w:evenHBand="0" w:firstRowFirstColumn="0" w:firstRowLastColumn="0" w:lastRowFirstColumn="0" w:lastRowLastColumn="0"/>
            </w:pPr>
            <w:r>
              <w:t>Temporal</w:t>
            </w:r>
          </w:p>
        </w:tc>
      </w:tr>
      <w:tr w:rsidR="0099116D" w14:paraId="207B1B07"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4E0C454" w14:textId="5F901846" w:rsidR="0099116D" w:rsidRPr="0099116D" w:rsidRDefault="0099116D" w:rsidP="0099116D">
            <w:pPr>
              <w:jc w:val="center"/>
              <w:rPr>
                <w:b w:val="0"/>
                <w:bCs w:val="0"/>
              </w:rPr>
            </w:pPr>
            <w:r w:rsidRPr="0099116D">
              <w:rPr>
                <w:b w:val="0"/>
                <w:bCs w:val="0"/>
              </w:rPr>
              <w:t>5</w:t>
            </w:r>
          </w:p>
        </w:tc>
        <w:tc>
          <w:tcPr>
            <w:tcW w:w="3192" w:type="dxa"/>
            <w:tcBorders>
              <w:top w:val="nil"/>
              <w:bottom w:val="nil"/>
            </w:tcBorders>
          </w:tcPr>
          <w:p w14:paraId="1DD8BD3C" w14:textId="2A0ACAA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1EE05DCC" w14:textId="3D5CC657" w:rsidR="0099116D" w:rsidRDefault="0099116D" w:rsidP="0099116D">
            <w:pPr>
              <w:cnfStyle w:val="000000100000" w:firstRow="0" w:lastRow="0" w:firstColumn="0" w:lastColumn="0" w:oddVBand="0" w:evenVBand="0" w:oddHBand="1" w:evenHBand="0" w:firstRowFirstColumn="0" w:firstRowLastColumn="0" w:lastRowFirstColumn="0" w:lastRowLastColumn="0"/>
            </w:pPr>
            <w:r>
              <w:t>Spatiotemporal</w:t>
            </w:r>
          </w:p>
        </w:tc>
      </w:tr>
      <w:tr w:rsidR="0099116D" w14:paraId="21B5386B"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single" w:sz="4" w:space="0" w:color="auto"/>
            </w:tcBorders>
          </w:tcPr>
          <w:p w14:paraId="2DC88CB3" w14:textId="36001231" w:rsidR="0099116D" w:rsidRPr="0099116D" w:rsidRDefault="0099116D" w:rsidP="0099116D">
            <w:pPr>
              <w:jc w:val="center"/>
              <w:rPr>
                <w:b w:val="0"/>
                <w:bCs w:val="0"/>
              </w:rPr>
            </w:pPr>
            <w:r w:rsidRPr="0099116D">
              <w:rPr>
                <w:b w:val="0"/>
                <w:bCs w:val="0"/>
              </w:rPr>
              <w:t>6</w:t>
            </w:r>
          </w:p>
        </w:tc>
        <w:tc>
          <w:tcPr>
            <w:tcW w:w="3192" w:type="dxa"/>
            <w:tcBorders>
              <w:top w:val="nil"/>
              <w:bottom w:val="single" w:sz="4" w:space="0" w:color="auto"/>
            </w:tcBorders>
          </w:tcPr>
          <w:p w14:paraId="01CA6880" w14:textId="02FA8D2E"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single" w:sz="4" w:space="0" w:color="auto"/>
            </w:tcBorders>
          </w:tcPr>
          <w:p w14:paraId="4D17B630" w14:textId="1E655D63" w:rsidR="0099116D" w:rsidRDefault="001D333F" w:rsidP="0099116D">
            <w:pPr>
              <w:cnfStyle w:val="000000000000" w:firstRow="0" w:lastRow="0" w:firstColumn="0" w:lastColumn="0" w:oddVBand="0" w:evenVBand="0" w:oddHBand="0" w:evenHBand="0" w:firstRowFirstColumn="0" w:firstRowLastColumn="0" w:lastRowFirstColumn="0" w:lastRowLastColumn="0"/>
            </w:pPr>
            <w:r>
              <w:t>Spatiotemporal, Semantic, Orthographic</w:t>
            </w:r>
          </w:p>
        </w:tc>
      </w:tr>
    </w:tbl>
    <w:p w14:paraId="4FF7D931" w14:textId="77777777" w:rsidR="0099116D" w:rsidRDefault="0099116D" w:rsidP="00B40587">
      <w:pPr>
        <w:ind w:firstLine="720"/>
      </w:pPr>
    </w:p>
    <w:p w14:paraId="71AAFF64" w14:textId="77777777" w:rsidR="009F13F1" w:rsidRPr="00D106F7" w:rsidRDefault="009F13F1" w:rsidP="00B40587">
      <w:pPr>
        <w:ind w:firstLine="720"/>
      </w:pPr>
    </w:p>
    <w:p w14:paraId="19503612" w14:textId="77777777" w:rsidR="00982446" w:rsidRPr="00982446" w:rsidRDefault="00982446" w:rsidP="00982446"/>
    <w:p w14:paraId="78B20202" w14:textId="1FCBD070" w:rsidR="00E96D11" w:rsidRDefault="00E96D11" w:rsidP="00E96D11">
      <w:pPr>
        <w:pStyle w:val="Heading3"/>
      </w:pPr>
      <w:r>
        <w:t xml:space="preserve">Model 4: </w:t>
      </w:r>
      <w:commentRangeStart w:id="13"/>
      <w:r>
        <w:t xml:space="preserve">Temporal </w:t>
      </w:r>
      <w:r w:rsidR="00D106F7">
        <w:t xml:space="preserve">Similarity </w:t>
      </w:r>
      <w:r>
        <w:t xml:space="preserve">Gradient </w:t>
      </w:r>
      <w:commentRangeEnd w:id="13"/>
      <w:r w:rsidR="009F3E0D">
        <w:rPr>
          <w:rStyle w:val="CommentReference"/>
          <w:rFonts w:eastAsia="SimSun" w:cs="Times New Roman"/>
          <w:b w:val="0"/>
          <w:i w:val="0"/>
        </w:rPr>
        <w:commentReference w:id="13"/>
      </w:r>
    </w:p>
    <w:p w14:paraId="2CF59F26" w14:textId="7158516B" w:rsidR="008F1972" w:rsidRDefault="00982446" w:rsidP="00982446">
      <w:pPr>
        <w:rPr>
          <w:i/>
          <w:iCs/>
        </w:rPr>
      </w:pPr>
      <w:r>
        <w:tab/>
        <w:t>In contrast to Model</w:t>
      </w:r>
      <w:r w:rsidR="008F1972">
        <w:t>s 2 and</w:t>
      </w:r>
      <w:r>
        <w:t xml:space="preserve"> 3 </w:t>
      </w:r>
      <w:r w:rsidR="008F1972">
        <w:t>in which</w:t>
      </w:r>
      <w:r>
        <w:t xml:space="preserve"> each intrusion is equally weighted (that is, the likelihood of each intruding item is divided by the number of intrusions), </w:t>
      </w:r>
      <w:r w:rsidR="008F1972">
        <w:t>in Model 4 the</w:t>
      </w:r>
      <w:r>
        <w:t xml:space="preserve"> weight of each intruding item is</w:t>
      </w:r>
      <w:r w:rsidR="00BF0183">
        <w:t xml:space="preserve"> determined by</w:t>
      </w:r>
      <w:r>
        <w:t xml:space="preserve"> </w:t>
      </w:r>
      <w:r w:rsidR="00BF0183">
        <w:t xml:space="preserve">its temporal similarity to the target </w:t>
      </w:r>
      <w:r>
        <w:t xml:space="preserve">represented by </w:t>
      </w:r>
      <w:r w:rsidR="00BF0183">
        <w:rPr>
          <w:i/>
          <w:iCs/>
        </w:rPr>
        <w:t>t</w:t>
      </w:r>
      <w:r w:rsidR="006764BD">
        <w:rPr>
          <w:i/>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8F1972" w14:paraId="15280BA9" w14:textId="77777777" w:rsidTr="00AE7EA6">
        <w:tc>
          <w:tcPr>
            <w:tcW w:w="9288" w:type="dxa"/>
            <w:vAlign w:val="center"/>
          </w:tcPr>
          <w:p w14:paraId="65E74BDF" w14:textId="7AA0332A" w:rsidR="008F1972" w:rsidRDefault="008F1972" w:rsidP="00AE7EA6">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755691E6" w14:textId="1AAC6DD1" w:rsidR="008F1972" w:rsidRDefault="008F1972" w:rsidP="00AE7EA6">
            <w:pPr>
              <w:jc w:val="center"/>
            </w:pPr>
            <w:r>
              <w:t>(</w:t>
            </w:r>
            <w:r w:rsidR="007239B9">
              <w:t>5</w:t>
            </w:r>
            <w:r>
              <w:t>)</w:t>
            </w:r>
          </w:p>
        </w:tc>
      </w:tr>
    </w:tbl>
    <w:p w14:paraId="14FA244A" w14:textId="0154CAD3" w:rsidR="00982446" w:rsidRPr="00982446" w:rsidRDefault="00982446" w:rsidP="00982446">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982446" w14:paraId="3A18103A" w14:textId="77777777" w:rsidTr="00982446">
        <w:tc>
          <w:tcPr>
            <w:tcW w:w="9103" w:type="dxa"/>
            <w:vAlign w:val="center"/>
          </w:tcPr>
          <w:p w14:paraId="5B4EECAB" w14:textId="6A3E78C4" w:rsidR="00982446" w:rsidRDefault="00BF0183" w:rsidP="00AE7EA6">
            <w:pPr>
              <w:jc w:val="center"/>
            </w:pPr>
            <m:oMathPara>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&amp;l&gt;0</m:t>
                        </m:r>
                      </m:e>
                      <m:e>
                        <m:r>
                          <w:rPr>
                            <w:rFonts w:ascii="Cambria Math" w:hAnsi="Cambria Math"/>
                          </w:rPr>
                          <m:t>(1-κ)</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&amp;l&lt;0</m:t>
                        </m:r>
                      </m:e>
                    </m:eqArr>
                  </m:e>
                </m:d>
              </m:oMath>
            </m:oMathPara>
          </w:p>
        </w:tc>
        <w:tc>
          <w:tcPr>
            <w:tcW w:w="473" w:type="dxa"/>
            <w:vAlign w:val="center"/>
          </w:tcPr>
          <w:p w14:paraId="7DDA4864" w14:textId="164AA938" w:rsidR="00982446" w:rsidRDefault="00982446" w:rsidP="00AE7EA6">
            <w:pPr>
              <w:jc w:val="center"/>
            </w:pPr>
            <w:r>
              <w:t>(</w:t>
            </w:r>
            <w:r w:rsidR="007239B9">
              <w:t>6</w:t>
            </w:r>
            <w:r>
              <w:t>)</w:t>
            </w:r>
          </w:p>
        </w:tc>
      </w:tr>
    </w:tbl>
    <w:p w14:paraId="5DCD60DB" w14:textId="12A0F376" w:rsidR="00982446" w:rsidRPr="006764BD" w:rsidRDefault="0087291B" w:rsidP="00982446">
      <w:pPr>
        <w:rPr>
          <w:i/>
          <w:iCs/>
        </w:rPr>
      </w:pPr>
      <w:r>
        <w:t xml:space="preserve">We incorporate the assumption that the strength of association between items is an exponentially decreasing function of distance, in this case </w:t>
      </w:r>
      <w:r>
        <w:rPr>
          <w:i/>
          <w:iCs/>
        </w:rPr>
        <w:t>l</w:t>
      </w:r>
      <w:r>
        <w:t xml:space="preserve">, the lag of the </w:t>
      </w:r>
      <w:r w:rsidR="006764BD" w:rsidRPr="0087291B">
        <w:t>intru</w:t>
      </w:r>
      <w:r>
        <w:t xml:space="preserve">ding item from the target (Shepard, 1987). </w:t>
      </w:r>
      <w:r w:rsidR="006764BD">
        <w:t xml:space="preserve">To allow for asymmetry in terms of temporal similarity for backwards and forwards lags, </w:t>
      </w:r>
      <m:oMath>
        <m:r>
          <w:rPr>
            <w:rFonts w:ascii="Cambria Math" w:hAnsi="Cambria Math"/>
          </w:rPr>
          <m:t>κ</m:t>
        </m:r>
      </m:oMath>
      <w:r w:rsidR="006764BD">
        <w:t xml:space="preserve"> scales the similarity slope in each direction such that when </w:t>
      </w:r>
      <m:oMath>
        <m:r>
          <w:rPr>
            <w:rFonts w:ascii="Cambria Math" w:hAnsi="Cambria Math"/>
          </w:rPr>
          <m:t>κ&gt;0.5</m:t>
        </m:r>
      </m:oMath>
      <w:r w:rsidR="006764BD">
        <w:t>,</w:t>
      </w:r>
      <w:r w:rsidR="00984BA7">
        <w:t xml:space="preserve"> items</w:t>
      </w:r>
      <w:r w:rsidR="006764BD">
        <w:t xml:space="preserve"> </w:t>
      </w:r>
      <w:r w:rsidR="006764BD">
        <w:lastRenderedPageBreak/>
        <w:t>presented after the target have greater temporal similarity</w:t>
      </w:r>
      <w:r w:rsidR="00660E78">
        <w:t xml:space="preserve">, and hence are weighted more in calculating the overall </w:t>
      </w:r>
      <w:r w:rsidR="00984BA7">
        <w:t>likelihood of intrusion</w:t>
      </w:r>
      <w:r w:rsidR="00660E78">
        <w:t>,</w:t>
      </w:r>
      <w:r w:rsidR="006764BD">
        <w:t xml:space="preserve"> compared to </w:t>
      </w:r>
      <w:r w:rsidR="00984BA7">
        <w:t>items</w:t>
      </w:r>
      <w:r w:rsidR="006764BD">
        <w:t xml:space="preserve"> preceding the target</w:t>
      </w:r>
      <w:r w:rsidR="00984BA7">
        <w:t xml:space="preserve">. </w:t>
      </w:r>
      <w:r w:rsidR="00003258">
        <w:t xml:space="preserve">The rate of exponential decay </w:t>
      </w:r>
      <m:oMath>
        <m:r>
          <w:rPr>
            <w:rFonts w:ascii="Cambria Math" w:hAnsi="Cambria Math"/>
          </w:rPr>
          <m:t>λ</m:t>
        </m:r>
      </m:oMath>
      <w:r w:rsidR="00003258">
        <w:t xml:space="preserve"> is estimated separately for the forwards and backwards similarity slopes.</w:t>
      </w:r>
    </w:p>
    <w:p w14:paraId="4AF19D97" w14:textId="7341E47C" w:rsidR="00E96D11" w:rsidRDefault="00E96D11" w:rsidP="00E96D11">
      <w:pPr>
        <w:pStyle w:val="Heading3"/>
      </w:pPr>
      <w:r>
        <w:t xml:space="preserve">Model 5: Spatiotemporal </w:t>
      </w:r>
      <w:r w:rsidR="00D106F7">
        <w:t xml:space="preserve">Similarity </w:t>
      </w:r>
      <w:r>
        <w:t xml:space="preserve">Gradient </w:t>
      </w:r>
    </w:p>
    <w:p w14:paraId="6E7EF08C" w14:textId="33C03E5B" w:rsidR="004C1A8C" w:rsidRDefault="004C1A8C" w:rsidP="004C1A8C">
      <w:r>
        <w:tab/>
      </w:r>
      <w:r w:rsidR="00EB43F2">
        <w:t xml:space="preserve">Using the same </w:t>
      </w:r>
      <w:r w:rsidR="00F420B0">
        <w:t xml:space="preserve">basic </w:t>
      </w:r>
      <w:r w:rsidR="00EB43F2">
        <w:t>structure</w:t>
      </w:r>
      <w:r w:rsidR="00F420B0">
        <w:t xml:space="preserve"> as the previous models</w:t>
      </w:r>
      <w:r w:rsidR="00EB43F2">
        <w:t>,</w:t>
      </w:r>
      <w:r w:rsidR="00A82FDB">
        <w:t xml:space="preserve"> in Model 5 i</w:t>
      </w:r>
      <w:r>
        <w:t>ntrusion likelihood is a weighted product of temporal and spatial similarity</w:t>
      </w:r>
      <w:r w:rsidR="00B6538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420B0" w14:paraId="530F56B9" w14:textId="77777777" w:rsidTr="00F420B0">
        <w:tc>
          <w:tcPr>
            <w:tcW w:w="9103" w:type="dxa"/>
            <w:vAlign w:val="center"/>
          </w:tcPr>
          <w:p w14:paraId="5EBB6754" w14:textId="2DD8A24D" w:rsidR="00F420B0" w:rsidRDefault="00F420B0" w:rsidP="00AE7EA6">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473" w:type="dxa"/>
            <w:vAlign w:val="center"/>
          </w:tcPr>
          <w:p w14:paraId="5677F56E" w14:textId="4AA32A73" w:rsidR="00F420B0" w:rsidRDefault="00F420B0" w:rsidP="00AE7EA6">
            <w:pPr>
              <w:jc w:val="center"/>
            </w:pPr>
            <w:r>
              <w:t>(</w:t>
            </w:r>
            <w:r w:rsidR="007239B9">
              <w:t>7</w:t>
            </w:r>
            <w:r>
              <w:t>)</w:t>
            </w:r>
          </w:p>
        </w:tc>
      </w:tr>
      <w:tr w:rsidR="00675C54" w14:paraId="4B406DC1" w14:textId="77777777" w:rsidTr="00AE7EA6">
        <w:tc>
          <w:tcPr>
            <w:tcW w:w="9103" w:type="dxa"/>
            <w:vAlign w:val="center"/>
          </w:tcPr>
          <w:p w14:paraId="20263B2C" w14:textId="5009B633" w:rsidR="00675C54" w:rsidRDefault="00675C54" w:rsidP="00AE7EA6">
            <w:pPr>
              <w:jc w:val="center"/>
            </w:pPr>
            <m:oMathPara>
              <m:oMath>
                <m:r>
                  <w:rPr>
                    <w:rFonts w:ascii="Cambria Math" w:hAnsi="Cambria Math"/>
                  </w:rPr>
                  <m:t xml:space="preserve">w= </m:t>
                </m:r>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s</m:t>
                    </m:r>
                  </m:e>
                  <m:sup>
                    <m:r>
                      <w:rPr>
                        <w:rFonts w:ascii="Cambria Math" w:hAnsi="Cambria Math"/>
                      </w:rPr>
                      <m:t>ρ</m:t>
                    </m:r>
                  </m:sup>
                </m:sSup>
              </m:oMath>
            </m:oMathPara>
          </w:p>
        </w:tc>
        <w:tc>
          <w:tcPr>
            <w:tcW w:w="473" w:type="dxa"/>
            <w:vAlign w:val="center"/>
          </w:tcPr>
          <w:p w14:paraId="75B8BD3B" w14:textId="54C39DBF" w:rsidR="00675C54" w:rsidRDefault="00675C54" w:rsidP="00AE7EA6">
            <w:pPr>
              <w:jc w:val="center"/>
            </w:pPr>
            <w:r>
              <w:t>(</w:t>
            </w:r>
            <w:r w:rsidR="007239B9">
              <w:t>8</w:t>
            </w:r>
            <w:r>
              <w:t>)</w:t>
            </w:r>
          </w:p>
        </w:tc>
      </w:tr>
    </w:tbl>
    <w:p w14:paraId="6C329CA4" w14:textId="0050A6FF" w:rsidR="00EB43F2" w:rsidRDefault="00F9144D" w:rsidP="00675C54">
      <w:r>
        <w:t xml:space="preserve">where the overall weight given to each intruding angle, </w:t>
      </w:r>
      <w:r>
        <w:rPr>
          <w:i/>
          <w:iCs/>
        </w:rPr>
        <w:t>w</w:t>
      </w:r>
      <w:r>
        <w:t xml:space="preserve">, is </w:t>
      </w:r>
      <w:r w:rsidR="00EB43F2">
        <w:t xml:space="preserve">determined by both the temporal similarity between the intruding item and the target, </w:t>
      </w:r>
      <w:r w:rsidR="00F420B0">
        <w:rPr>
          <w:i/>
          <w:iCs/>
        </w:rPr>
        <w:t xml:space="preserve">t </w:t>
      </w:r>
      <w:r w:rsidR="00EB43F2">
        <w:t>as defined in (</w:t>
      </w:r>
      <w:r w:rsidR="007239B9">
        <w:t>6</w:t>
      </w:r>
      <w:r w:rsidR="00EB43F2">
        <w:t xml:space="preserve">), and the spatial similarity between the target and intruding angles </w:t>
      </w:r>
      <w:r w:rsidR="00EB43F2" w:rsidRPr="00EB43F2">
        <w:rPr>
          <w:i/>
          <w:iCs/>
        </w:rPr>
        <w:t>s</w:t>
      </w:r>
      <w:r w:rsidR="00EB43F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EB43F2" w14:paraId="72204BBB" w14:textId="77777777" w:rsidTr="00AE7EA6">
        <w:tc>
          <w:tcPr>
            <w:tcW w:w="9103" w:type="dxa"/>
            <w:vAlign w:val="center"/>
          </w:tcPr>
          <w:p w14:paraId="67A6E011" w14:textId="77777777" w:rsidR="00EB43F2" w:rsidRDefault="00EB43F2" w:rsidP="00AE7EA6">
            <w:pPr>
              <w:jc w:val="center"/>
            </w:pPr>
            <m:oMathPara>
              <m:oMath>
                <m:r>
                  <w:rPr>
                    <w:rFonts w:ascii="Cambria Math" w:hAnsi="Cambria Math"/>
                  </w:rPr>
                  <m:t xml:space="preserve">s= </m:t>
                </m:r>
                <m:sSup>
                  <m:sSupPr>
                    <m:ctrlPr>
                      <w:rPr>
                        <w:rFonts w:ascii="Cambria Math" w:hAnsi="Cambria Math"/>
                        <w:i/>
                      </w:rPr>
                    </m:ctrlPr>
                  </m:sSupPr>
                  <m:e>
                    <m:r>
                      <w:rPr>
                        <w:rFonts w:ascii="Cambria Math" w:hAnsi="Cambria Math"/>
                      </w:rPr>
                      <m:t>e</m:t>
                    </m:r>
                  </m:e>
                  <m:sup>
                    <m:r>
                      <w:rPr>
                        <w:rFonts w:ascii="Cambria Math" w:hAnsi="Cambria Math"/>
                      </w:rPr>
                      <m:t>-ζ(1-</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07EEE052" w14:textId="3F47DDF7" w:rsidR="00EB43F2" w:rsidRDefault="00EB43F2" w:rsidP="00AE7EA6">
            <w:pPr>
              <w:jc w:val="center"/>
            </w:pPr>
            <w:r>
              <w:t>(</w:t>
            </w:r>
            <w:r w:rsidR="007239B9">
              <w:t>9</w:t>
            </w:r>
            <w:r>
              <w:t>)</w:t>
            </w:r>
          </w:p>
        </w:tc>
      </w:tr>
    </w:tbl>
    <w:p w14:paraId="717ADC4D" w14:textId="31232FDF" w:rsidR="003B66F4" w:rsidRPr="00675C54" w:rsidRDefault="00984BA7" w:rsidP="00675C54">
      <w:r>
        <w:t>as with temporal similarity, we assume that spatial similarity decreases exponentially with distance</w:t>
      </w:r>
      <w:r w:rsidR="00963F40">
        <w:t xml:space="preserve">, </w:t>
      </w:r>
      <w:commentRangeStart w:id="14"/>
      <w:r w:rsidR="00963F40">
        <w:t>which in this case is circular</w:t>
      </w:r>
      <w:commentRangeEnd w:id="14"/>
      <w:r w:rsidR="001A0539">
        <w:t xml:space="preserve"> distance between the two angles</w:t>
      </w:r>
      <w:r w:rsidR="00963F40">
        <w:rPr>
          <w:rStyle w:val="CommentReference"/>
        </w:rPr>
        <w:commentReference w:id="14"/>
      </w:r>
      <w:r w:rsidR="00963F40">
        <w:t xml:space="preserve">. </w:t>
      </w:r>
      <w:r w:rsidR="00EB43F2" w:rsidRPr="00EB43F2">
        <w:t>The</w:t>
      </w:r>
      <w:r w:rsidR="00EB43F2">
        <w:t xml:space="preserve"> relative contribution of temporal and spatial similarity in determining overall spatiotemporal similarity is weighted by </w:t>
      </w:r>
      <m:oMath>
        <m:r>
          <w:rPr>
            <w:rFonts w:ascii="Cambria Math" w:hAnsi="Cambria Math"/>
          </w:rPr>
          <m:t>ρ</m:t>
        </m:r>
      </m:oMath>
      <w:r w:rsidR="00EB43F2">
        <w:t>.</w:t>
      </w:r>
      <w:r w:rsidR="00F420B0">
        <w:t xml:space="preserve"> </w:t>
      </w:r>
    </w:p>
    <w:p w14:paraId="4F658499" w14:textId="68E23784" w:rsidR="00E96D11" w:rsidRPr="00E96D11" w:rsidRDefault="00E96D11" w:rsidP="00E96D11">
      <w:pPr>
        <w:pStyle w:val="Heading3"/>
      </w:pPr>
      <w:r>
        <w:t xml:space="preserve">Model 6: </w:t>
      </w:r>
      <w:r w:rsidR="00D106F7">
        <w:t>Spatiotemporal-Semantic-Orthographic Similarity Gradient</w:t>
      </w:r>
    </w:p>
    <w:p w14:paraId="7339233C" w14:textId="77777777" w:rsidR="00D32D72" w:rsidRDefault="00D32D72" w:rsidP="000122E9"/>
    <w:p w14:paraId="2D0AEC59" w14:textId="77777777" w:rsidR="00836CE7" w:rsidRDefault="00836CE7" w:rsidP="00836CE7">
      <w:pPr>
        <w:pStyle w:val="Heading1"/>
      </w:pPr>
      <w:r>
        <w:t>Overview of Experiments</w:t>
      </w:r>
    </w:p>
    <w:p w14:paraId="5F0EB6C5" w14:textId="1C1DB31C" w:rsidR="0031666D" w:rsidRPr="0031666D" w:rsidRDefault="0047737D" w:rsidP="00836CE7">
      <w:r>
        <w:tab/>
      </w:r>
      <w:r w:rsidR="0031666D">
        <w:t xml:space="preserve">In Experiment 1, we found qualitative improvements in model fit by introducing successively sophisticated models of intrusions between items, ranging from Model 1 with no intrusions to Model 5 with a spatiotemporal similarity gradient on intrusion probability. However, we did not find a corresponding quantitative improvement in terms of fit statistics, which may </w:t>
      </w:r>
      <w:r w:rsidR="0031666D">
        <w:lastRenderedPageBreak/>
        <w:t>have been due to an insufficient number of observations reflecting intrusion responses to support the parameter penalty incurred by the more sophisticated models. In Experiment 2, we address this issue by concentrating power at the level of individuals by using a small-</w:t>
      </w:r>
      <w:r w:rsidR="0031666D">
        <w:rPr>
          <w:i/>
          <w:iCs/>
        </w:rPr>
        <w:t>N</w:t>
      </w:r>
      <w:r w:rsidR="0031666D">
        <w:t xml:space="preserve"> design which found that Model 5 was quantitatively preferred</w:t>
      </w:r>
      <w:r w:rsidR="00F67B77">
        <w:t>, supporting the view that spatiotemporal similarity influences intrusion probability, but did not find support for further elaborations including semantics and orthography in determining similarity between items.</w:t>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15" w:name="_18qzotez331d"/>
      <w:bookmarkEnd w:id="15"/>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lastRenderedPageBreak/>
        <w:t xml:space="preserve">Stimuli and </w:t>
      </w:r>
      <w:r w:rsidR="000A078C">
        <w:t>A</w:t>
      </w:r>
      <w:r>
        <w:t>pparatus</w:t>
      </w:r>
    </w:p>
    <w:p w14:paraId="41BC9AE1" w14:textId="639DAA67"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one and five. Words were displayed in size 24 point “Courier New” white font positioned in the center of a uniform mean luminance field. The choice of a monospaced font and the restriction of words to strictly four letters were to ensure stimuli always occupied a consistent amount of space on the screen. </w:t>
      </w:r>
      <w:r>
        <w:t xml:space="preserve">Software written in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16" w:name="_xpawz2834hng"/>
      <w:bookmarkStart w:id="17" w:name="_p894letv0pt3"/>
      <w:bookmarkEnd w:id="16"/>
      <w:bookmarkEnd w:id="17"/>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or the sequential presentation condition when beginning session one of the </w:t>
      </w:r>
      <w:proofErr w:type="gramStart"/>
      <w:r w:rsidR="000A078C">
        <w:t>experiment</w:t>
      </w:r>
      <w:proofErr w:type="gramEnd"/>
      <w:r w:rsidR="000A078C">
        <w:t>, which would be the same for all subsequent sessions for that participant.</w:t>
      </w:r>
    </w:p>
    <w:p w14:paraId="0E2B4AD9" w14:textId="48E6D22F" w:rsidR="00E11FC8" w:rsidRDefault="00A102EA" w:rsidP="00842DEA">
      <w:pPr>
        <w:autoSpaceDE w:val="0"/>
        <w:autoSpaceDN w:val="0"/>
        <w:adjustRightInd w:val="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w:t>
      </w:r>
      <w:r>
        <w:lastRenderedPageBreak/>
        <w:t xml:space="preserve">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27DCC993" w:rsidR="00A102EA" w:rsidRDefault="00A102EA" w:rsidP="00E11FC8">
      <w:pPr>
        <w:ind w:firstLine="720"/>
      </w:pPr>
      <w:r>
        <w:lastRenderedPageBreak/>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time limit on the decision task. A schematic for one trial in each of the phases is shown in Figure </w:t>
      </w:r>
      <w:r w:rsidR="00AB438C">
        <w:t>2</w:t>
      </w:r>
      <w:r>
        <w:t>.</w:t>
      </w:r>
    </w:p>
    <w:p w14:paraId="52CD7D76" w14:textId="7A9BD5AA" w:rsidR="00275357" w:rsidRPr="00AB438C" w:rsidRDefault="00275357" w:rsidP="00AB438C">
      <w:pPr>
        <w:pStyle w:val="Caption"/>
      </w:pPr>
      <w:r w:rsidRPr="00AB438C">
        <w:t xml:space="preserve">Figure </w:t>
      </w:r>
      <w:fldSimple w:instr=" SEQ Figure \* ARABIC ">
        <w:r w:rsidR="00BC16B0">
          <w:rPr>
            <w:noProof/>
          </w:rPr>
          <w:t>2</w:t>
        </w:r>
      </w:fldSimple>
      <w:r w:rsidRPr="00AB438C">
        <w:t xml:space="preserve"> </w:t>
      </w:r>
    </w:p>
    <w:p w14:paraId="16BAF6B7" w14:textId="39823239" w:rsidR="00275357" w:rsidRPr="00AB438C" w:rsidRDefault="00275357" w:rsidP="00275357">
      <w:pPr>
        <w:pStyle w:val="Caption"/>
        <w:keepNext/>
        <w:rPr>
          <w:b w:val="0"/>
          <w:bCs/>
          <w:i/>
          <w:iCs w:val="0"/>
          <w:szCs w:val="24"/>
        </w:rPr>
      </w:pPr>
      <w:r w:rsidRPr="00AB438C">
        <w:rPr>
          <w:b w:val="0"/>
          <w:bCs/>
          <w:i/>
          <w:iCs w:val="0"/>
          <w:szCs w:val="24"/>
        </w:rPr>
        <w:t>Schematic of display presented to the participant in one trial in each phase of the experiment.</w:t>
      </w:r>
    </w:p>
    <w:p w14:paraId="2C061613" w14:textId="0D3C7260" w:rsidR="00A102EA" w:rsidRDefault="0065639F" w:rsidP="00A102EA">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1C0A997D" w14:textId="4F108BC7" w:rsidR="00BF224C" w:rsidRDefault="00BF224C"/>
    <w:p w14:paraId="48CF36F8" w14:textId="0EDDB3B8" w:rsidR="000A078C" w:rsidRDefault="000A078C" w:rsidP="000A078C">
      <w:pPr>
        <w:pStyle w:val="Heading2"/>
        <w:ind w:firstLine="0"/>
      </w:pPr>
      <w:r>
        <w:t>Results</w:t>
      </w:r>
    </w:p>
    <w:p w14:paraId="6A445569" w14:textId="0C90EEA7" w:rsidR="003D0F63" w:rsidRDefault="00F33643" w:rsidP="003D0F63">
      <w:r>
        <w:tab/>
      </w:r>
      <w:r w:rsidR="0099799D">
        <w:t xml:space="preserve">To facilitate presentation of the analyses, we step through incremental elaborations of the response error model, and then repeat these steps with the circular diffusion model that models response error and response time data. </w:t>
      </w:r>
      <w:r>
        <w:t xml:space="preserve">First, </w:t>
      </w:r>
      <w:r w:rsidR="00836CE7">
        <w:t>we assess whether there is a difference between the sequential and simultaneous presentations of source and item, in terms of both recognition and source judgements</w:t>
      </w:r>
      <w:r>
        <w:t xml:space="preserve">. Second, we turn our attention to intrusions and compare a </w:t>
      </w:r>
      <w:proofErr w:type="spellStart"/>
      <w:r>
        <w:t>thresholded</w:t>
      </w:r>
      <w:proofErr w:type="spellEnd"/>
      <w:r>
        <w:t xml:space="preserve"> model without intrusions to a model with intrusions, and a model with intrusions and a threshold. Third, we introduce a more sophisticated intrusion component to the model that is sensitive to the </w:t>
      </w:r>
      <w:r>
        <w:lastRenderedPageBreak/>
        <w:t xml:space="preserve">similarity between items when determining individual pairwise intrusion probabilities. Finally, we repeat these steps with </w:t>
      </w:r>
      <w:r w:rsidR="0099799D">
        <w:t>the circular diffusion model.</w:t>
      </w:r>
    </w:p>
    <w:p w14:paraId="2F2033E4" w14:textId="3105F598" w:rsidR="00006759" w:rsidRPr="00006759" w:rsidRDefault="00006759" w:rsidP="00006759">
      <w:pPr>
        <w:pStyle w:val="Heading3"/>
      </w:pPr>
      <w:r w:rsidRPr="00006759">
        <w:t>Data Exclusion</w:t>
      </w:r>
    </w:p>
    <w:p w14:paraId="4CAB849C" w14:textId="3A2C9516" w:rsidR="00006759" w:rsidRPr="00006759" w:rsidRDefault="00006759" w:rsidP="003D0F63">
      <w:r>
        <w:rPr>
          <w:b/>
          <w:bCs/>
        </w:rPr>
        <w:tab/>
      </w:r>
      <w:r>
        <w:t xml:space="preserve">In addition to the rejection of two participants previously described under methodology, individual responses from the remaining participants with a response time of faster than 300 </w:t>
      </w:r>
      <w:proofErr w:type="spellStart"/>
      <w:r>
        <w:t>ms</w:t>
      </w:r>
      <w:proofErr w:type="spellEnd"/>
      <w:r>
        <w:t xml:space="preserve"> or slower than 7000 </w:t>
      </w:r>
      <w:proofErr w:type="spellStart"/>
      <w:r>
        <w:t>ms</w:t>
      </w:r>
      <w:proofErr w:type="spellEnd"/>
      <w:r>
        <w:t xml:space="preserve"> were also excluded from subsequent analyses. This resulted in the omission of 1.72% of data.</w:t>
      </w:r>
    </w:p>
    <w:p w14:paraId="149D44DE" w14:textId="6BFA677B" w:rsidR="00836CE7" w:rsidRPr="00836CE7" w:rsidRDefault="00836CE7" w:rsidP="00006759">
      <w:pPr>
        <w:pStyle w:val="Heading3"/>
      </w:pPr>
      <w:r>
        <w:t>Simultaneous vs Sequential Presentation</w:t>
      </w:r>
    </w:p>
    <w:p w14:paraId="7981ED97" w14:textId="658DE539" w:rsidR="00836CE7" w:rsidRDefault="00836CE7" w:rsidP="00836CE7">
      <w:pPr>
        <w:ind w:firstLine="720"/>
      </w:pPr>
      <w:commentRangeStart w:id="18"/>
      <w:r>
        <w:rPr>
          <w:iCs/>
        </w:rPr>
        <w:t xml:space="preserve">With regard to performance in the source judgments, response error averaged within and compared between the simultaneous (M = .009, SD = 1.37) and sequential (M = .002, SD = 1.43) groups were not significantly different </w:t>
      </w:r>
      <w:proofErr w:type="gramStart"/>
      <w:r>
        <w:rPr>
          <w:i/>
        </w:rPr>
        <w:t>t</w:t>
      </w:r>
      <w:r>
        <w:t>(</w:t>
      </w:r>
      <w:proofErr w:type="gramEnd"/>
      <w:r>
        <w:t xml:space="preserve">12460) = .28, </w:t>
      </w:r>
      <w:r>
        <w:rPr>
          <w:i/>
        </w:rPr>
        <w:t xml:space="preserve">p </w:t>
      </w:r>
      <w:r>
        <w:t>= .773</w:t>
      </w:r>
      <w:commentRangeEnd w:id="18"/>
      <w:r>
        <w:rPr>
          <w:rStyle w:val="CommentReference"/>
        </w:rPr>
        <w:commentReference w:id="18"/>
      </w:r>
      <w:r>
        <w:t>. This can be confirmed visually by comparing the distributions of response error in the two conditions (Figure</w:t>
      </w:r>
      <w:r w:rsidR="00275357">
        <w:t xml:space="preserve"> </w:t>
      </w:r>
      <w:r w:rsidR="00AB438C">
        <w:t>3</w:t>
      </w:r>
      <w:r>
        <w:t>)</w:t>
      </w:r>
    </w:p>
    <w:p w14:paraId="19A3B10C" w14:textId="30427229" w:rsidR="0075535E" w:rsidRPr="0075535E" w:rsidRDefault="0075535E" w:rsidP="00AB438C">
      <w:pPr>
        <w:pStyle w:val="Caption"/>
      </w:pPr>
      <w:r w:rsidRPr="00AB438C">
        <w:t xml:space="preserve">Figure </w:t>
      </w:r>
      <w:fldSimple w:instr=" SEQ Figure \* ARABIC ">
        <w:r w:rsidR="00BC16B0">
          <w:rPr>
            <w:noProof/>
          </w:rPr>
          <w:t>3</w:t>
        </w:r>
      </w:fldSimple>
      <w:r w:rsidRPr="00AB438C">
        <w:t xml:space="preserve"> </w:t>
      </w:r>
      <w:r w:rsidRPr="0075535E">
        <w:br/>
      </w:r>
      <w:r w:rsidRPr="00AB438C">
        <w:rPr>
          <w:b w:val="0"/>
          <w:bCs/>
          <w:i/>
          <w:iCs w:val="0"/>
        </w:rPr>
        <w:t>Normalized Histograms of Source Error in Sequential and Simultaneous Presentation Conditions</w:t>
      </w:r>
    </w:p>
    <w:p w14:paraId="104C9AEE" w14:textId="5D112429" w:rsidR="00836CE7" w:rsidRPr="00836CE7" w:rsidRDefault="00836CE7" w:rsidP="00CD61EA">
      <w:r>
        <w:rPr>
          <w:noProof/>
        </w:rPr>
        <w:drawing>
          <wp:inline distT="0" distB="0" distL="0" distR="0" wp14:anchorId="2395927B" wp14:editId="1809F101">
            <wp:extent cx="6057582" cy="233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057582" cy="2330388"/>
                    </a:xfrm>
                    <a:prstGeom prst="rect">
                      <a:avLst/>
                    </a:prstGeom>
                  </pic:spPr>
                </pic:pic>
              </a:graphicData>
            </a:graphic>
          </wp:inline>
        </w:drawing>
      </w:r>
      <w:r w:rsidR="00361BA3" w:rsidRPr="00361BA3">
        <w:rPr>
          <w:noProof/>
        </w:rPr>
        <w:t xml:space="preserve"> </w:t>
      </w:r>
    </w:p>
    <w:p w14:paraId="1A0CE250" w14:textId="588B3B56" w:rsidR="00836CE7" w:rsidRDefault="00836CE7" w:rsidP="00CD61EA">
      <w:r>
        <w:rPr>
          <w:b/>
          <w:bCs/>
        </w:rPr>
        <w:tab/>
      </w:r>
      <w:r>
        <w:t xml:space="preserve">Subsequent modelling analyses were conducted on an individual level, and significance tests on resultant parameter estimates between the presentation conditions were also not </w:t>
      </w:r>
      <w:r>
        <w:lastRenderedPageBreak/>
        <w:t xml:space="preserve">significant. For brevity, these analyses are provided as supplementary material and commentary on the modelling will not make further reference to the presentation manipulation. </w:t>
      </w:r>
    </w:p>
    <w:p w14:paraId="7070325F" w14:textId="0D7D6F2D" w:rsidR="00AA4910" w:rsidRDefault="00AA4910" w:rsidP="00AA4910">
      <w:pPr>
        <w:pStyle w:val="Heading3"/>
      </w:pPr>
      <w:r>
        <w:t>Evidence of Intrusions</w:t>
      </w:r>
    </w:p>
    <w:p w14:paraId="201ED469" w14:textId="1C282827" w:rsidR="00364195" w:rsidRDefault="00364195" w:rsidP="00364195">
      <w:r>
        <w:tab/>
      </w:r>
      <w:r w:rsidR="004B52E8">
        <w:t xml:space="preserve">While guesses and intrusions will both appear uniform relative to the target on each trial, the two can be distinguished by examining </w:t>
      </w:r>
      <w:r w:rsidR="00871770">
        <w:t xml:space="preserve">the distance between responses and each of the non-target items on each trial (Bays et al., 2009). With no contribution of intrusions, the resultant distribution should appear uniform, while evidence for intrusions is reflected in central </w:t>
      </w:r>
      <w:proofErr w:type="gramStart"/>
      <w:r w:rsidR="00871770">
        <w:t>tendency ,</w:t>
      </w:r>
      <w:proofErr w:type="gramEnd"/>
      <w:r w:rsidR="00871770">
        <w:t xml:space="preserve"> present in our data as shown in Figure </w:t>
      </w:r>
      <w:r w:rsidR="007E0845">
        <w:t>4</w:t>
      </w:r>
      <w:r w:rsidR="00871770">
        <w:t>.</w:t>
      </w:r>
      <w:r w:rsidR="007E0845">
        <w:t xml:space="preserve"> We will subsequently refer to this analysis as it is equivalent to recentering response errors relative to the non-target items.</w:t>
      </w:r>
    </w:p>
    <w:p w14:paraId="69411EC9" w14:textId="77777777" w:rsidR="00871770" w:rsidRPr="00364195" w:rsidRDefault="00871770" w:rsidP="00364195"/>
    <w:p w14:paraId="0CB64DBC" w14:textId="4B7915F8" w:rsidR="007E0845" w:rsidRDefault="007E0845" w:rsidP="007E0845">
      <w:pPr>
        <w:pStyle w:val="Caption"/>
        <w:keepNext/>
      </w:pPr>
      <w:r>
        <w:t xml:space="preserve">Figure </w:t>
      </w:r>
      <w:fldSimple w:instr=" SEQ Figure \* ARABIC ">
        <w:r w:rsidR="00BC16B0">
          <w:rPr>
            <w:noProof/>
          </w:rPr>
          <w:t>4</w:t>
        </w:r>
      </w:fldSimple>
    </w:p>
    <w:p w14:paraId="35F34A70" w14:textId="3FFEA759" w:rsidR="007E0845" w:rsidRPr="007E0845" w:rsidRDefault="007E0845" w:rsidP="007E0845">
      <w:pPr>
        <w:rPr>
          <w:i/>
          <w:iCs/>
        </w:rPr>
      </w:pPr>
      <w:r>
        <w:rPr>
          <w:i/>
          <w:iCs/>
        </w:rPr>
        <w:t>Response Angles Relative to Non-</w:t>
      </w:r>
      <w:r w:rsidR="00990164">
        <w:rPr>
          <w:i/>
          <w:iCs/>
        </w:rPr>
        <w:t>t</w:t>
      </w:r>
      <w:r>
        <w:rPr>
          <w:i/>
          <w:iCs/>
        </w:rPr>
        <w:t>argets</w:t>
      </w:r>
    </w:p>
    <w:p w14:paraId="51A20A54" w14:textId="1A1196DD" w:rsidR="007E0845" w:rsidRDefault="007165B0" w:rsidP="007165B0">
      <w:r>
        <w:rPr>
          <w:noProof/>
        </w:rPr>
        <w:drawing>
          <wp:inline distT="0" distB="0" distL="0" distR="0" wp14:anchorId="0590185A" wp14:editId="035373C2">
            <wp:extent cx="5943600" cy="372046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stretch>
                      <a:fillRect/>
                    </a:stretch>
                  </pic:blipFill>
                  <pic:spPr>
                    <a:xfrm>
                      <a:off x="0" y="0"/>
                      <a:ext cx="5943600" cy="3720465"/>
                    </a:xfrm>
                    <a:prstGeom prst="rect">
                      <a:avLst/>
                    </a:prstGeom>
                  </pic:spPr>
                </pic:pic>
              </a:graphicData>
            </a:graphic>
          </wp:inline>
        </w:drawing>
      </w:r>
    </w:p>
    <w:p w14:paraId="6A60158C" w14:textId="7B532575" w:rsidR="007E0845" w:rsidRDefault="007E0845" w:rsidP="007165B0">
      <w:pPr>
        <w:rPr>
          <w:noProof/>
        </w:rPr>
      </w:pPr>
      <w:r>
        <w:rPr>
          <w:noProof/>
        </w:rPr>
        <w:lastRenderedPageBreak/>
        <w:tab/>
        <w:t>Figure 5 splits the recentered data by the lag and direction of the intrusion for each trial</w:t>
      </w:r>
      <w:r w:rsidR="00CE5905">
        <w:rPr>
          <w:noProof/>
        </w:rPr>
        <w:t>. Central tendency, and hence evidence for intrusions, is strong</w:t>
      </w:r>
      <w:r w:rsidR="00990164">
        <w:rPr>
          <w:noProof/>
        </w:rPr>
        <w:t>er in the forwards direction and decreases with higher absolute lag.</w:t>
      </w:r>
    </w:p>
    <w:p w14:paraId="2C05FC72" w14:textId="32A8B8C4" w:rsidR="00990164" w:rsidRDefault="00990164" w:rsidP="00990164">
      <w:pPr>
        <w:pStyle w:val="Caption"/>
        <w:keepNext/>
      </w:pPr>
      <w:r>
        <w:t xml:space="preserve">Figure </w:t>
      </w:r>
      <w:fldSimple w:instr=" SEQ Figure \* ARABIC ">
        <w:r w:rsidR="00BC16B0">
          <w:rPr>
            <w:noProof/>
          </w:rPr>
          <w:t>5</w:t>
        </w:r>
      </w:fldSimple>
    </w:p>
    <w:p w14:paraId="226D092A" w14:textId="420A5D3A" w:rsidR="00990164" w:rsidRPr="00990164" w:rsidRDefault="00990164" w:rsidP="00990164">
      <w:pPr>
        <w:rPr>
          <w:i/>
          <w:iCs/>
        </w:rPr>
      </w:pPr>
      <w:r>
        <w:rPr>
          <w:i/>
          <w:iCs/>
        </w:rPr>
        <w:t>Response Angles Relative to Non-targets, Split across Lag and Direction</w:t>
      </w:r>
    </w:p>
    <w:p w14:paraId="2EFA617E" w14:textId="2349B1E4" w:rsidR="007165B0" w:rsidRPr="007165B0" w:rsidRDefault="00D05FE5" w:rsidP="007165B0">
      <w:r>
        <w:rPr>
          <w:noProof/>
        </w:rPr>
        <w:drawing>
          <wp:inline distT="0" distB="0" distL="0" distR="0" wp14:anchorId="5D3A4FCB" wp14:editId="62E4C25B">
            <wp:extent cx="5943600" cy="399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97325"/>
                    </a:xfrm>
                    <a:prstGeom prst="rect">
                      <a:avLst/>
                    </a:prstGeom>
                  </pic:spPr>
                </pic:pic>
              </a:graphicData>
            </a:graphic>
          </wp:inline>
        </w:drawing>
      </w:r>
    </w:p>
    <w:p w14:paraId="7D5A999A" w14:textId="7810FD27" w:rsidR="00270C55" w:rsidRDefault="005B750B" w:rsidP="00270C55">
      <w:pPr>
        <w:pStyle w:val="Heading3"/>
      </w:pPr>
      <w:r>
        <w:t xml:space="preserve">Response Error </w:t>
      </w:r>
      <w:r w:rsidR="00AA4910">
        <w:t>Model</w:t>
      </w:r>
      <w:r w:rsidR="00270C55">
        <w:t>ling</w:t>
      </w:r>
    </w:p>
    <w:p w14:paraId="4A425146" w14:textId="5181DB7B" w:rsidR="00270C55" w:rsidRDefault="00270C55" w:rsidP="00270C55">
      <w:pPr>
        <w:ind w:firstLine="720"/>
      </w:pPr>
      <w:r>
        <w:t xml:space="preserve">Our modelling approach was to start with a two-component mixture model equivalent to Zhang and Luck (2008), and then introduce successive elaborations on the intrusion component to make it sensitive to similarity first in terms of temporal, then spatial similarity of presentation, and finally semantic and orthographic features of the stimuli. The same stepwise process was also taken with the circular diffusion model, using the same calculations to weight intrusion probability by the various kinds of similarity, using the Zhou et al. (2021) </w:t>
      </w:r>
      <w:proofErr w:type="spellStart"/>
      <w:r>
        <w:t>thresholded</w:t>
      </w:r>
      <w:proofErr w:type="spellEnd"/>
      <w:r>
        <w:t xml:space="preserve"> circular </w:t>
      </w:r>
      <w:r>
        <w:lastRenderedPageBreak/>
        <w:t xml:space="preserve">diffusion model as a base in place of the Zhang and Luck (2008) model. The models are formally described in the sections to follow, and the key differences between models are summarized in </w:t>
      </w:r>
      <w:commentRangeStart w:id="19"/>
      <w:r>
        <w:t>Table X</w:t>
      </w:r>
      <w:commentRangeEnd w:id="19"/>
      <w:r>
        <w:rPr>
          <w:rStyle w:val="CommentReference"/>
        </w:rPr>
        <w:commentReference w:id="19"/>
      </w:r>
      <w:r>
        <w:t xml:space="preserve">. In addition, we implemented variations of some models with allowances such as different parameters for primacy and recency items, and additive and multiplicative combinations of similarity when calculating intrusion probabilities. For ease of presentation, we have excluded these variants in this text, but code for all the models is available at </w:t>
      </w:r>
      <w:r w:rsidRPr="001D333F">
        <w:rPr>
          <w:highlight w:val="yellow"/>
        </w:rPr>
        <w:t>[link here]</w:t>
      </w:r>
      <w:r>
        <w:t xml:space="preserve"> and are provided as supplementary material.</w:t>
      </w:r>
    </w:p>
    <w:p w14:paraId="401C6112" w14:textId="2E8ABDB5" w:rsidR="00270C55" w:rsidRDefault="00270C55" w:rsidP="00270C55">
      <w:pPr>
        <w:pStyle w:val="Heading3"/>
      </w:pPr>
      <w:r>
        <w:t>Intrusions</w:t>
      </w:r>
    </w:p>
    <w:p w14:paraId="6224FDC1" w14:textId="77777777" w:rsidR="00270C55" w:rsidRDefault="00270C55" w:rsidP="00270C55">
      <w:pPr>
        <w:pStyle w:val="Heading3"/>
      </w:pPr>
      <w:r>
        <w:t>Model 1: Pure Guessing</w:t>
      </w:r>
    </w:p>
    <w:p w14:paraId="4027AF67" w14:textId="77777777" w:rsidR="00270C55" w:rsidRPr="00982446" w:rsidRDefault="00270C55" w:rsidP="00270C55">
      <w:r>
        <w:tab/>
        <w:t xml:space="preserve">As previously described, the Zhang and Luck (2008) model expresses the idea that responses are generated from a mixture of two process, one which is target-driven with Gaussian error, and another which is driven by guesses made at random:  </w:t>
      </w:r>
    </w:p>
    <w:p w14:paraId="4D80D789" w14:textId="77777777" w:rsidR="00270C55" w:rsidRPr="00982446" w:rsidRDefault="00270C55" w:rsidP="00270C55">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58635C1D" w14:textId="77777777" w:rsidTr="00922E6F">
        <w:tc>
          <w:tcPr>
            <w:tcW w:w="9288" w:type="dxa"/>
            <w:vAlign w:val="center"/>
          </w:tcPr>
          <w:p w14:paraId="62D989CB"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oMath>
            </m:oMathPara>
          </w:p>
        </w:tc>
        <w:tc>
          <w:tcPr>
            <w:tcW w:w="288" w:type="dxa"/>
            <w:vAlign w:val="center"/>
          </w:tcPr>
          <w:p w14:paraId="4E882795" w14:textId="77777777" w:rsidR="00270C55" w:rsidRDefault="00270C55" w:rsidP="00922E6F">
            <w:pPr>
              <w:jc w:val="center"/>
            </w:pPr>
            <w:r>
              <w:t>(2)</w:t>
            </w:r>
          </w:p>
        </w:tc>
      </w:tr>
    </w:tbl>
    <w:p w14:paraId="76D1AE55" w14:textId="77777777" w:rsidR="00270C55" w:rsidRDefault="00270C55" w:rsidP="00270C55"/>
    <w:p w14:paraId="6519DF00" w14:textId="77777777" w:rsidR="00270C55" w:rsidRPr="00982446" w:rsidRDefault="00270C55" w:rsidP="00270C55">
      <w:r>
        <w:t xml:space="preserve">where in the target-driven component, </w:t>
      </w:r>
      <m:oMath>
        <m:r>
          <w:rPr>
            <w:rFonts w:ascii="Cambria Math" w:hAnsi="Cambria Math"/>
          </w:rPr>
          <m:t>θ</m:t>
        </m:r>
      </m:oMath>
      <w:r>
        <w:t xml:space="preserve"> represents the target angle, </w:t>
      </w:r>
      <m:oMath>
        <m:acc>
          <m:accPr>
            <m:ctrlPr>
              <w:rPr>
                <w:rFonts w:ascii="Cambria Math" w:hAnsi="Cambria Math"/>
                <w:i/>
              </w:rPr>
            </m:ctrlPr>
          </m:accPr>
          <m:e>
            <m:r>
              <w:rPr>
                <w:rFonts w:ascii="Cambria Math" w:hAnsi="Cambria Math"/>
              </w:rPr>
              <m:t>θ</m:t>
            </m:r>
          </m:e>
        </m:acc>
      </m:oMath>
      <w:r>
        <w:t xml:space="preserve"> is the reported angle, and </w:t>
      </w:r>
      <m:oMath>
        <m:sSub>
          <m:sSubPr>
            <m:ctrlPr>
              <w:rPr>
                <w:rFonts w:ascii="Cambria Math" w:hAnsi="Cambria Math"/>
                <w:i/>
              </w:rPr>
            </m:ctrlPr>
          </m:sSubPr>
          <m:e>
            <m:r>
              <w:rPr>
                <w:rFonts w:ascii="Cambria Math" w:hAnsi="Cambria Math"/>
              </w:rPr>
              <m:t>ϕ</m:t>
            </m:r>
          </m:e>
          <m:sub>
            <m:r>
              <w:rPr>
                <w:rFonts w:ascii="Cambria Math" w:hAnsi="Cambria Math"/>
              </w:rPr>
              <m:t>δ</m:t>
            </m:r>
          </m:sub>
        </m:sSub>
      </m:oMath>
      <w:r>
        <w:t xml:space="preserve"> represents a Von Mises distribution with a mean of 0 and a standard deviation of </w:t>
      </w:r>
      <m:oMath>
        <m:r>
          <w:rPr>
            <w:rFonts w:ascii="Cambria Math" w:hAnsi="Cambria Math"/>
          </w:rPr>
          <m:t>δ</m:t>
        </m:r>
      </m:oMath>
      <w:r>
        <w:t xml:space="preserve">. The probability that a response is a guess is represented by </w:t>
      </w:r>
      <m:oMath>
        <m:r>
          <w:rPr>
            <w:rFonts w:ascii="Cambria Math" w:hAnsi="Cambria Math"/>
          </w:rPr>
          <m:t>β</m:t>
        </m:r>
      </m:oMath>
      <w:r>
        <w:t>.</w:t>
      </w:r>
      <w:r>
        <w:rPr>
          <w:i/>
          <w:iCs/>
        </w:rPr>
        <w:t xml:space="preserve"> </w:t>
      </w:r>
    </w:p>
    <w:p w14:paraId="2C8CE109" w14:textId="77777777" w:rsidR="00270C55" w:rsidRDefault="00270C55" w:rsidP="00270C55">
      <w:pPr>
        <w:pStyle w:val="Heading3"/>
      </w:pPr>
      <w:r>
        <w:t>Model 2: Pure Intrusions</w:t>
      </w:r>
    </w:p>
    <w:p w14:paraId="33A1EE89" w14:textId="77777777" w:rsidR="00270C55" w:rsidRPr="009F13F1" w:rsidRDefault="00270C55" w:rsidP="00270C55">
      <w:r>
        <w:tab/>
        <w:t>To test the strong prediction that all non-target responses can be accounted for with intrusions from non-target items without invoking any uniform guessing, Model 2 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4DBE37E3" w14:textId="77777777" w:rsidTr="00922E6F">
        <w:tc>
          <w:tcPr>
            <w:tcW w:w="9288" w:type="dxa"/>
            <w:vAlign w:val="center"/>
          </w:tcPr>
          <w:p w14:paraId="6648D68F" w14:textId="77777777" w:rsidR="00270C55" w:rsidRDefault="00270C55" w:rsidP="00922E6F">
            <w:pPr>
              <w:jc w:val="center"/>
            </w:pPr>
            <m:oMathPara>
              <m:oMath>
                <m:r>
                  <w:rPr>
                    <w:rFonts w:ascii="Cambria Math" w:hAnsi="Cambria Math"/>
                  </w:rPr>
                  <w:lastRenderedPageBreak/>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135C0F28" w14:textId="77777777" w:rsidR="00270C55" w:rsidRDefault="00270C55" w:rsidP="00922E6F">
            <w:pPr>
              <w:jc w:val="center"/>
            </w:pPr>
            <w:r>
              <w:t>(3)</w:t>
            </w:r>
          </w:p>
        </w:tc>
      </w:tr>
    </w:tbl>
    <w:p w14:paraId="1572EED0" w14:textId="77777777" w:rsidR="00270C55" w:rsidRPr="00B6538A" w:rsidRDefault="00270C55" w:rsidP="00270C55">
      <w:r>
        <w:t xml:space="preserve">where the probability of an intrusion occurring is represented by </w:t>
      </w:r>
      <m:oMath>
        <m:r>
          <w:rPr>
            <w:rFonts w:ascii="Cambria Math" w:hAnsi="Cambria Math"/>
          </w:rPr>
          <m:t>γ</m:t>
        </m:r>
      </m:oMath>
      <w:r>
        <w:t xml:space="preserve">, and the angle associated with the </w:t>
      </w:r>
      <w:proofErr w:type="spellStart"/>
      <w:r>
        <w:rPr>
          <w:i/>
          <w:iCs/>
        </w:rPr>
        <w:t>i</w:t>
      </w:r>
      <w:r>
        <w:t>th</w:t>
      </w:r>
      <w:proofErr w:type="spellEnd"/>
      <w:r>
        <w:t xml:space="preserve"> intruding item is represented by </w:t>
      </w:r>
      <m:oMath>
        <m:sSub>
          <m:sSubPr>
            <m:ctrlPr>
              <w:rPr>
                <w:rFonts w:ascii="Cambria Math" w:hAnsi="Cambria Math"/>
                <w:i/>
                <w:sz w:val="22"/>
                <w:szCs w:val="22"/>
              </w:rPr>
            </m:ctrlPr>
          </m:sSubPr>
          <m:e>
            <m:r>
              <w:rPr>
                <w:rFonts w:ascii="Cambria Math" w:hAnsi="Cambria Math"/>
              </w:rPr>
              <m:t>θ</m:t>
            </m:r>
          </m:e>
          <m:sub>
            <m:r>
              <w:rPr>
                <w:rFonts w:ascii="Cambria Math" w:hAnsi="Cambria Math"/>
              </w:rPr>
              <m:t>i</m:t>
            </m:r>
          </m:sub>
        </m:sSub>
      </m:oMath>
      <w:r>
        <w:rPr>
          <w:sz w:val="22"/>
          <w:szCs w:val="22"/>
        </w:rPr>
        <w:t>.</w:t>
      </w:r>
      <w:r>
        <w:t xml:space="preserve"> Note that of the </w:t>
      </w:r>
      <w:r>
        <w:rPr>
          <w:i/>
          <w:iCs/>
        </w:rPr>
        <w:t>m</w:t>
      </w:r>
      <w:r>
        <w:t xml:space="preserve"> non-target items, the probability of a particular non-target intruding is equal.</w:t>
      </w:r>
    </w:p>
    <w:p w14:paraId="754051E3" w14:textId="77777777" w:rsidR="00270C55" w:rsidRDefault="00270C55" w:rsidP="00270C55">
      <w:pPr>
        <w:pStyle w:val="Heading3"/>
      </w:pPr>
      <w:r>
        <w:t>Model 3: Intrusions + Guessing</w:t>
      </w:r>
    </w:p>
    <w:p w14:paraId="3F9277BD" w14:textId="77777777" w:rsidR="00270C55" w:rsidRPr="00B5196B" w:rsidRDefault="00270C55" w:rsidP="00270C55">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3BED6C84" w14:textId="77777777" w:rsidTr="00922E6F">
        <w:tc>
          <w:tcPr>
            <w:tcW w:w="9288" w:type="dxa"/>
            <w:vAlign w:val="center"/>
          </w:tcPr>
          <w:p w14:paraId="71085451"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67978C47" w14:textId="77777777" w:rsidR="00270C55" w:rsidRDefault="00270C55" w:rsidP="00922E6F">
            <w:pPr>
              <w:jc w:val="center"/>
            </w:pPr>
            <w:r>
              <w:t>(4)</w:t>
            </w:r>
          </w:p>
        </w:tc>
      </w:tr>
    </w:tbl>
    <w:p w14:paraId="2731096C" w14:textId="0484ED08" w:rsidR="00364195" w:rsidRDefault="00990164" w:rsidP="00364195">
      <w:r>
        <w:tab/>
        <w:t xml:space="preserve">Models were fit on an individual level, and the relative performance of the models for each participant is shown in Table </w:t>
      </w:r>
      <w:r w:rsidR="00A60491">
        <w:t>2</w:t>
      </w:r>
      <w:r>
        <w:t xml:space="preserve">. </w:t>
      </w:r>
      <w:r w:rsidR="00352A2E">
        <w:t>Performance</w:t>
      </w:r>
      <w:r>
        <w:t xml:space="preserve"> is evaluated </w:t>
      </w:r>
      <w:proofErr w:type="gramStart"/>
      <w:r>
        <w:t>on the basis of</w:t>
      </w:r>
      <w:proofErr w:type="gramEnd"/>
      <w:r>
        <w:t xml:space="preserve"> AIC weights, </w:t>
      </w:r>
      <w:r w:rsidR="00352A2E">
        <w:t xml:space="preserve">which is interpretable as the probability that a given model is correct for that participant (Burnham &amp; Anderson, 2002). For </w:t>
      </w:r>
      <w:proofErr w:type="gramStart"/>
      <w:r w:rsidR="00352A2E">
        <w:t>the majority of</w:t>
      </w:r>
      <w:proofErr w:type="gramEnd"/>
      <w:r w:rsidR="00352A2E">
        <w:t xml:space="preserve"> participants, Model 3</w:t>
      </w:r>
      <w:r w:rsidR="00A60491">
        <w:t xml:space="preserve"> (Intrusion + Guess)</w:t>
      </w:r>
      <w:r w:rsidR="00352A2E">
        <w:t xml:space="preserve"> is heavily preferred over </w:t>
      </w:r>
      <w:r w:rsidR="00A71B02">
        <w:t>simpler models with guessing or intrusion components exclusively, and more sophisticated models with contextual gradients on the probability of each intruding item.</w:t>
      </w:r>
      <w:r w:rsidR="00A60491">
        <w:t xml:space="preserve"> Table </w:t>
      </w:r>
      <w:r w:rsidR="002256FD">
        <w:t>1</w:t>
      </w:r>
      <w:r w:rsidR="00A60491">
        <w:t xml:space="preserve"> shows AIC values summed over participants</w:t>
      </w:r>
      <w:r w:rsidR="00053596">
        <w:t>, in which</w:t>
      </w:r>
      <w:r w:rsidR="00A60491">
        <w:t xml:space="preserve"> Model 3 is also preferred.</w:t>
      </w:r>
    </w:p>
    <w:p w14:paraId="38891A06" w14:textId="7EB8202F" w:rsidR="00D83317" w:rsidRDefault="00D83317" w:rsidP="00364195"/>
    <w:p w14:paraId="78B79A44" w14:textId="77777777" w:rsidR="00D83317" w:rsidRDefault="00D83317" w:rsidP="00364195"/>
    <w:p w14:paraId="24C1DF75" w14:textId="77777777" w:rsidR="00D83317" w:rsidRDefault="00D83317" w:rsidP="00364195"/>
    <w:p w14:paraId="09008998" w14:textId="77777777" w:rsidR="002256FD" w:rsidRDefault="00270C55" w:rsidP="00270C55">
      <w:r>
        <w:tab/>
      </w:r>
    </w:p>
    <w:tbl>
      <w:tblPr>
        <w:tblpPr w:leftFromText="180" w:rightFromText="180" w:vertAnchor="text" w:horzAnchor="page" w:tblpX="1930" w:tblpY="-98"/>
        <w:tblW w:w="9028" w:type="dxa"/>
        <w:tblLook w:val="04A0" w:firstRow="1" w:lastRow="0" w:firstColumn="1" w:lastColumn="0" w:noHBand="0" w:noVBand="1"/>
      </w:tblPr>
      <w:tblGrid>
        <w:gridCol w:w="4666"/>
        <w:gridCol w:w="2181"/>
        <w:gridCol w:w="2181"/>
      </w:tblGrid>
      <w:tr w:rsidR="002256FD" w:rsidRPr="00364195" w14:paraId="2D37C365" w14:textId="77777777" w:rsidTr="002256FD">
        <w:trPr>
          <w:trHeight w:val="220"/>
        </w:trPr>
        <w:tc>
          <w:tcPr>
            <w:tcW w:w="6847" w:type="dxa"/>
            <w:gridSpan w:val="2"/>
            <w:tcBorders>
              <w:left w:val="nil"/>
              <w:bottom w:val="single" w:sz="4" w:space="0" w:color="auto"/>
              <w:right w:val="nil"/>
            </w:tcBorders>
            <w:shd w:val="clear" w:color="auto" w:fill="auto"/>
            <w:noWrap/>
            <w:vAlign w:val="bottom"/>
          </w:tcPr>
          <w:p w14:paraId="6869E4E6" w14:textId="035530C0" w:rsidR="002256FD" w:rsidRDefault="002256FD" w:rsidP="002256FD">
            <w:pPr>
              <w:pStyle w:val="Caption"/>
            </w:pPr>
            <w:r>
              <w:lastRenderedPageBreak/>
              <w:t>Table 1</w:t>
            </w:r>
          </w:p>
          <w:p w14:paraId="417F4158" w14:textId="77777777" w:rsidR="002256FD" w:rsidRPr="00A60491" w:rsidRDefault="002256FD" w:rsidP="002256FD">
            <w:pPr>
              <w:rPr>
                <w:i/>
                <w:iCs/>
              </w:rPr>
            </w:pPr>
            <w:r>
              <w:rPr>
                <w:i/>
                <w:iCs/>
              </w:rPr>
              <w:t>AIC Values Summed Over Participants</w:t>
            </w:r>
          </w:p>
        </w:tc>
        <w:tc>
          <w:tcPr>
            <w:tcW w:w="2181" w:type="dxa"/>
            <w:tcBorders>
              <w:left w:val="nil"/>
              <w:bottom w:val="single" w:sz="4" w:space="0" w:color="auto"/>
              <w:right w:val="nil"/>
            </w:tcBorders>
          </w:tcPr>
          <w:p w14:paraId="49FA9520" w14:textId="77777777" w:rsidR="002256FD" w:rsidRDefault="002256FD" w:rsidP="002256FD">
            <w:pPr>
              <w:pStyle w:val="Caption"/>
            </w:pPr>
          </w:p>
        </w:tc>
      </w:tr>
      <w:tr w:rsidR="002256FD" w:rsidRPr="00364195" w14:paraId="1E54B8B9" w14:textId="77777777" w:rsidTr="002256FD">
        <w:trPr>
          <w:trHeight w:val="220"/>
        </w:trPr>
        <w:tc>
          <w:tcPr>
            <w:tcW w:w="4666" w:type="dxa"/>
            <w:tcBorders>
              <w:top w:val="single" w:sz="4" w:space="0" w:color="auto"/>
              <w:left w:val="nil"/>
              <w:bottom w:val="single" w:sz="4" w:space="0" w:color="auto"/>
              <w:right w:val="nil"/>
            </w:tcBorders>
            <w:shd w:val="clear" w:color="auto" w:fill="auto"/>
            <w:noWrap/>
            <w:vAlign w:val="bottom"/>
            <w:hideMark/>
          </w:tcPr>
          <w:p w14:paraId="4F4FBA34" w14:textId="77777777" w:rsidR="002256FD" w:rsidRPr="00364195" w:rsidRDefault="002256FD" w:rsidP="002256FD">
            <w:pPr>
              <w:spacing w:line="240" w:lineRule="auto"/>
              <w:jc w:val="center"/>
              <w:rPr>
                <w:rFonts w:eastAsia="Times New Roman"/>
              </w:rPr>
            </w:pPr>
            <w:r>
              <w:rPr>
                <w:rFonts w:eastAsia="Times New Roman"/>
              </w:rPr>
              <w:t>Model</w:t>
            </w:r>
          </w:p>
        </w:tc>
        <w:tc>
          <w:tcPr>
            <w:tcW w:w="2181" w:type="dxa"/>
            <w:tcBorders>
              <w:top w:val="single" w:sz="4" w:space="0" w:color="auto"/>
              <w:left w:val="nil"/>
              <w:bottom w:val="single" w:sz="4" w:space="0" w:color="auto"/>
              <w:right w:val="nil"/>
            </w:tcBorders>
            <w:shd w:val="clear" w:color="auto" w:fill="auto"/>
            <w:noWrap/>
            <w:vAlign w:val="bottom"/>
            <w:hideMark/>
          </w:tcPr>
          <w:p w14:paraId="40A745CA" w14:textId="77777777" w:rsidR="002256FD" w:rsidRPr="00364195" w:rsidRDefault="002256FD" w:rsidP="002256FD">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c>
          <w:tcPr>
            <w:tcW w:w="2181" w:type="dxa"/>
            <w:tcBorders>
              <w:top w:val="single" w:sz="4" w:space="0" w:color="auto"/>
              <w:left w:val="nil"/>
              <w:bottom w:val="single" w:sz="4" w:space="0" w:color="auto"/>
              <w:right w:val="nil"/>
            </w:tcBorders>
          </w:tcPr>
          <w:p w14:paraId="6C2D3B9C" w14:textId="77777777" w:rsidR="002256FD" w:rsidRDefault="002256FD" w:rsidP="002256FD">
            <w:pPr>
              <w:spacing w:line="240" w:lineRule="auto"/>
              <w:jc w:val="center"/>
              <w:rPr>
                <w:rFonts w:eastAsia="Times New Roman"/>
                <w:color w:val="000000"/>
              </w:rPr>
            </w:pPr>
            <w:r>
              <w:rPr>
                <w:rFonts w:eastAsia="Times New Roman"/>
                <w:color w:val="000000"/>
              </w:rPr>
              <w:t>ΔΣAIC</w:t>
            </w:r>
          </w:p>
        </w:tc>
      </w:tr>
      <w:tr w:rsidR="002256FD" w:rsidRPr="00364195" w14:paraId="75A9CFF5" w14:textId="77777777" w:rsidTr="002256FD">
        <w:trPr>
          <w:trHeight w:val="220"/>
        </w:trPr>
        <w:tc>
          <w:tcPr>
            <w:tcW w:w="4666" w:type="dxa"/>
            <w:tcBorders>
              <w:top w:val="single" w:sz="4" w:space="0" w:color="auto"/>
              <w:left w:val="nil"/>
              <w:bottom w:val="nil"/>
              <w:right w:val="nil"/>
            </w:tcBorders>
            <w:shd w:val="clear" w:color="auto" w:fill="auto"/>
            <w:noWrap/>
            <w:vAlign w:val="bottom"/>
            <w:hideMark/>
          </w:tcPr>
          <w:p w14:paraId="333F5E29"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Pure Guess</w:t>
            </w:r>
          </w:p>
        </w:tc>
        <w:tc>
          <w:tcPr>
            <w:tcW w:w="2181" w:type="dxa"/>
            <w:tcBorders>
              <w:top w:val="single" w:sz="4" w:space="0" w:color="auto"/>
              <w:left w:val="nil"/>
              <w:bottom w:val="nil"/>
              <w:right w:val="nil"/>
            </w:tcBorders>
            <w:shd w:val="clear" w:color="auto" w:fill="auto"/>
            <w:noWrap/>
            <w:vAlign w:val="bottom"/>
            <w:hideMark/>
          </w:tcPr>
          <w:p w14:paraId="210C1347"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37338.77</w:t>
            </w:r>
          </w:p>
        </w:tc>
        <w:tc>
          <w:tcPr>
            <w:tcW w:w="2181" w:type="dxa"/>
            <w:tcBorders>
              <w:top w:val="single" w:sz="4" w:space="0" w:color="auto"/>
              <w:left w:val="nil"/>
              <w:bottom w:val="nil"/>
              <w:right w:val="nil"/>
            </w:tcBorders>
          </w:tcPr>
          <w:p w14:paraId="674C5019" w14:textId="77777777" w:rsidR="002256FD" w:rsidRPr="00364195" w:rsidRDefault="002256FD" w:rsidP="002256FD">
            <w:pPr>
              <w:spacing w:line="240" w:lineRule="auto"/>
              <w:jc w:val="center"/>
              <w:rPr>
                <w:rFonts w:eastAsia="Times New Roman"/>
                <w:color w:val="000000"/>
              </w:rPr>
            </w:pPr>
            <w:r>
              <w:rPr>
                <w:rFonts w:eastAsia="Times New Roman"/>
                <w:color w:val="000000"/>
              </w:rPr>
              <w:t>276.86</w:t>
            </w:r>
          </w:p>
        </w:tc>
      </w:tr>
      <w:tr w:rsidR="002256FD" w:rsidRPr="00364195" w14:paraId="11EAE483" w14:textId="77777777" w:rsidTr="002256FD">
        <w:trPr>
          <w:trHeight w:val="220"/>
        </w:trPr>
        <w:tc>
          <w:tcPr>
            <w:tcW w:w="4666" w:type="dxa"/>
            <w:tcBorders>
              <w:top w:val="nil"/>
              <w:left w:val="nil"/>
              <w:bottom w:val="nil"/>
              <w:right w:val="nil"/>
            </w:tcBorders>
            <w:shd w:val="clear" w:color="auto" w:fill="auto"/>
            <w:noWrap/>
            <w:vAlign w:val="bottom"/>
            <w:hideMark/>
          </w:tcPr>
          <w:p w14:paraId="0E9BD408"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Pure Intrusion</w:t>
            </w:r>
          </w:p>
        </w:tc>
        <w:tc>
          <w:tcPr>
            <w:tcW w:w="2181" w:type="dxa"/>
            <w:tcBorders>
              <w:top w:val="nil"/>
              <w:left w:val="nil"/>
              <w:bottom w:val="nil"/>
              <w:right w:val="nil"/>
            </w:tcBorders>
            <w:shd w:val="clear" w:color="auto" w:fill="auto"/>
            <w:noWrap/>
            <w:vAlign w:val="bottom"/>
            <w:hideMark/>
          </w:tcPr>
          <w:p w14:paraId="0B21EB49"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38178.07</w:t>
            </w:r>
          </w:p>
        </w:tc>
        <w:tc>
          <w:tcPr>
            <w:tcW w:w="2181" w:type="dxa"/>
            <w:tcBorders>
              <w:top w:val="nil"/>
              <w:left w:val="nil"/>
              <w:bottom w:val="nil"/>
              <w:right w:val="nil"/>
            </w:tcBorders>
          </w:tcPr>
          <w:p w14:paraId="2F4C01B9" w14:textId="77777777" w:rsidR="002256FD" w:rsidRPr="00364195" w:rsidRDefault="002256FD" w:rsidP="002256FD">
            <w:pPr>
              <w:spacing w:line="240" w:lineRule="auto"/>
              <w:jc w:val="center"/>
              <w:rPr>
                <w:rFonts w:eastAsia="Times New Roman"/>
                <w:color w:val="000000"/>
              </w:rPr>
            </w:pPr>
            <w:r>
              <w:rPr>
                <w:rFonts w:eastAsia="Times New Roman"/>
                <w:color w:val="000000"/>
              </w:rPr>
              <w:t>1116.16</w:t>
            </w:r>
          </w:p>
        </w:tc>
      </w:tr>
      <w:tr w:rsidR="002256FD" w:rsidRPr="00364195" w14:paraId="72786D8A" w14:textId="77777777" w:rsidTr="002256FD">
        <w:trPr>
          <w:trHeight w:val="220"/>
        </w:trPr>
        <w:tc>
          <w:tcPr>
            <w:tcW w:w="4666" w:type="dxa"/>
            <w:tcBorders>
              <w:top w:val="nil"/>
              <w:left w:val="nil"/>
              <w:bottom w:val="nil"/>
              <w:right w:val="nil"/>
            </w:tcBorders>
            <w:shd w:val="clear" w:color="auto" w:fill="auto"/>
            <w:noWrap/>
            <w:vAlign w:val="bottom"/>
            <w:hideMark/>
          </w:tcPr>
          <w:p w14:paraId="7B4D21F2"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Intrusion + Guess</w:t>
            </w:r>
          </w:p>
        </w:tc>
        <w:tc>
          <w:tcPr>
            <w:tcW w:w="2181" w:type="dxa"/>
            <w:tcBorders>
              <w:top w:val="nil"/>
              <w:left w:val="nil"/>
              <w:bottom w:val="nil"/>
              <w:right w:val="nil"/>
            </w:tcBorders>
            <w:shd w:val="clear" w:color="auto" w:fill="auto"/>
            <w:noWrap/>
            <w:vAlign w:val="bottom"/>
            <w:hideMark/>
          </w:tcPr>
          <w:p w14:paraId="591C2F22" w14:textId="77777777" w:rsidR="002256FD" w:rsidRPr="002256FD" w:rsidRDefault="002256FD" w:rsidP="002256FD">
            <w:pPr>
              <w:spacing w:line="240" w:lineRule="auto"/>
              <w:jc w:val="center"/>
              <w:rPr>
                <w:rFonts w:eastAsia="Times New Roman"/>
                <w:b/>
                <w:bCs/>
                <w:color w:val="000000"/>
              </w:rPr>
            </w:pPr>
            <w:r w:rsidRPr="002256FD">
              <w:rPr>
                <w:rFonts w:eastAsia="Times New Roman"/>
                <w:b/>
                <w:bCs/>
                <w:color w:val="000000"/>
              </w:rPr>
              <w:t>37061.91</w:t>
            </w:r>
          </w:p>
        </w:tc>
        <w:tc>
          <w:tcPr>
            <w:tcW w:w="2181" w:type="dxa"/>
            <w:tcBorders>
              <w:top w:val="nil"/>
              <w:left w:val="nil"/>
              <w:bottom w:val="nil"/>
              <w:right w:val="nil"/>
            </w:tcBorders>
          </w:tcPr>
          <w:p w14:paraId="29490CAF" w14:textId="77777777" w:rsidR="002256FD" w:rsidRPr="002256FD" w:rsidRDefault="002256FD" w:rsidP="002256FD">
            <w:pPr>
              <w:spacing w:line="240" w:lineRule="auto"/>
              <w:jc w:val="center"/>
              <w:rPr>
                <w:rFonts w:eastAsia="Times New Roman"/>
                <w:b/>
                <w:bCs/>
                <w:color w:val="000000"/>
              </w:rPr>
            </w:pPr>
            <w:r w:rsidRPr="002256FD">
              <w:rPr>
                <w:rFonts w:eastAsia="Times New Roman"/>
                <w:b/>
                <w:bCs/>
                <w:color w:val="000000"/>
              </w:rPr>
              <w:t>0</w:t>
            </w:r>
          </w:p>
        </w:tc>
      </w:tr>
      <w:tr w:rsidR="002256FD" w:rsidRPr="00364195" w14:paraId="644C4BE7" w14:textId="77777777" w:rsidTr="002256FD">
        <w:trPr>
          <w:trHeight w:val="220"/>
        </w:trPr>
        <w:tc>
          <w:tcPr>
            <w:tcW w:w="4666" w:type="dxa"/>
            <w:tcBorders>
              <w:top w:val="nil"/>
              <w:left w:val="nil"/>
              <w:right w:val="nil"/>
            </w:tcBorders>
            <w:shd w:val="clear" w:color="auto" w:fill="auto"/>
            <w:noWrap/>
            <w:vAlign w:val="bottom"/>
            <w:hideMark/>
          </w:tcPr>
          <w:p w14:paraId="110F2A6A"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Temporal Gradient</w:t>
            </w:r>
          </w:p>
        </w:tc>
        <w:tc>
          <w:tcPr>
            <w:tcW w:w="2181" w:type="dxa"/>
            <w:tcBorders>
              <w:top w:val="nil"/>
              <w:left w:val="nil"/>
              <w:right w:val="nil"/>
            </w:tcBorders>
            <w:shd w:val="clear" w:color="auto" w:fill="auto"/>
            <w:noWrap/>
            <w:vAlign w:val="bottom"/>
            <w:hideMark/>
          </w:tcPr>
          <w:p w14:paraId="0DDAF1EA"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37176.82</w:t>
            </w:r>
          </w:p>
        </w:tc>
        <w:tc>
          <w:tcPr>
            <w:tcW w:w="2181" w:type="dxa"/>
            <w:tcBorders>
              <w:top w:val="nil"/>
              <w:left w:val="nil"/>
              <w:right w:val="nil"/>
            </w:tcBorders>
          </w:tcPr>
          <w:p w14:paraId="237F4379" w14:textId="77777777" w:rsidR="002256FD" w:rsidRPr="00364195" w:rsidRDefault="002256FD" w:rsidP="002256FD">
            <w:pPr>
              <w:spacing w:line="240" w:lineRule="auto"/>
              <w:jc w:val="center"/>
              <w:rPr>
                <w:rFonts w:eastAsia="Times New Roman"/>
                <w:color w:val="000000"/>
              </w:rPr>
            </w:pPr>
            <w:r>
              <w:rPr>
                <w:rFonts w:eastAsia="Times New Roman"/>
                <w:color w:val="000000"/>
              </w:rPr>
              <w:t>114.91</w:t>
            </w:r>
          </w:p>
        </w:tc>
      </w:tr>
      <w:tr w:rsidR="002256FD" w:rsidRPr="00364195" w14:paraId="35A6954C" w14:textId="77777777" w:rsidTr="002256FD">
        <w:trPr>
          <w:trHeight w:val="220"/>
        </w:trPr>
        <w:tc>
          <w:tcPr>
            <w:tcW w:w="4666" w:type="dxa"/>
            <w:tcBorders>
              <w:top w:val="nil"/>
              <w:left w:val="nil"/>
              <w:bottom w:val="single" w:sz="4" w:space="0" w:color="auto"/>
              <w:right w:val="nil"/>
            </w:tcBorders>
            <w:shd w:val="clear" w:color="auto" w:fill="auto"/>
            <w:noWrap/>
            <w:vAlign w:val="bottom"/>
            <w:hideMark/>
          </w:tcPr>
          <w:p w14:paraId="5E08B9AD" w14:textId="77777777" w:rsidR="002256FD" w:rsidRPr="00D83317" w:rsidRDefault="002256FD" w:rsidP="002256FD">
            <w:pPr>
              <w:pStyle w:val="ListParagraph"/>
              <w:numPr>
                <w:ilvl w:val="0"/>
                <w:numId w:val="5"/>
              </w:numPr>
              <w:spacing w:line="240" w:lineRule="auto"/>
              <w:rPr>
                <w:rFonts w:eastAsia="Times New Roman"/>
                <w:color w:val="000000"/>
              </w:rPr>
            </w:pPr>
            <w:r w:rsidRPr="00D83317">
              <w:rPr>
                <w:rFonts w:eastAsia="Times New Roman"/>
                <w:color w:val="000000"/>
              </w:rPr>
              <w:t>Spatiotemporal Gradient</w:t>
            </w:r>
          </w:p>
        </w:tc>
        <w:tc>
          <w:tcPr>
            <w:tcW w:w="2181" w:type="dxa"/>
            <w:tcBorders>
              <w:top w:val="nil"/>
              <w:left w:val="nil"/>
              <w:bottom w:val="single" w:sz="4" w:space="0" w:color="auto"/>
              <w:right w:val="nil"/>
            </w:tcBorders>
            <w:shd w:val="clear" w:color="auto" w:fill="auto"/>
            <w:noWrap/>
            <w:vAlign w:val="bottom"/>
            <w:hideMark/>
          </w:tcPr>
          <w:p w14:paraId="0FC81D1C" w14:textId="77777777" w:rsidR="002256FD" w:rsidRPr="00364195" w:rsidRDefault="002256FD" w:rsidP="002256FD">
            <w:pPr>
              <w:spacing w:line="240" w:lineRule="auto"/>
              <w:jc w:val="center"/>
              <w:rPr>
                <w:rFonts w:eastAsia="Times New Roman"/>
                <w:color w:val="000000"/>
              </w:rPr>
            </w:pPr>
            <w:r w:rsidRPr="00364195">
              <w:rPr>
                <w:rFonts w:eastAsia="Times New Roman"/>
                <w:color w:val="000000"/>
              </w:rPr>
              <w:t>37237.68</w:t>
            </w:r>
          </w:p>
        </w:tc>
        <w:tc>
          <w:tcPr>
            <w:tcW w:w="2181" w:type="dxa"/>
            <w:tcBorders>
              <w:top w:val="nil"/>
              <w:left w:val="nil"/>
              <w:bottom w:val="single" w:sz="4" w:space="0" w:color="auto"/>
              <w:right w:val="nil"/>
            </w:tcBorders>
          </w:tcPr>
          <w:p w14:paraId="0B1166EF" w14:textId="77777777" w:rsidR="002256FD" w:rsidRPr="00364195" w:rsidRDefault="002256FD" w:rsidP="002256FD">
            <w:pPr>
              <w:spacing w:line="240" w:lineRule="auto"/>
              <w:jc w:val="center"/>
              <w:rPr>
                <w:rFonts w:eastAsia="Times New Roman"/>
                <w:color w:val="000000"/>
              </w:rPr>
            </w:pPr>
            <w:r>
              <w:rPr>
                <w:rFonts w:eastAsia="Times New Roman"/>
                <w:color w:val="000000"/>
              </w:rPr>
              <w:t>175.77</w:t>
            </w:r>
          </w:p>
        </w:tc>
      </w:tr>
    </w:tbl>
    <w:p w14:paraId="67EB4A84" w14:textId="7EB8E9DB" w:rsidR="002256FD" w:rsidRDefault="002256FD" w:rsidP="002256FD">
      <w:pPr>
        <w:pStyle w:val="Heading3"/>
      </w:pPr>
      <w:r>
        <w:t>Intrusions</w:t>
      </w:r>
    </w:p>
    <w:p w14:paraId="4F5AB47E" w14:textId="721BF701" w:rsidR="00270C55" w:rsidRPr="00372811" w:rsidRDefault="00270C55" w:rsidP="002256FD">
      <w:pPr>
        <w:ind w:firstLine="720"/>
      </w:pPr>
      <w:r>
        <w:t xml:space="preserve">The reason for underperformance of the Pure Intrusion model compared to the Pure Guess and Intrusion + Guess model can be seen in Table </w:t>
      </w:r>
      <w:r w:rsidR="002256FD">
        <w:t>2</w:t>
      </w:r>
      <w:r>
        <w:t xml:space="preserve">, which shows the average estimated parameter for each model. The lower value of precision for the memory component </w:t>
      </w:r>
      <w:r>
        <w:rPr>
          <w:rFonts w:eastAsia="Times New Roman"/>
          <w:i/>
          <w:iCs/>
          <w:color w:val="000000"/>
        </w:rPr>
        <w:t>δ</w:t>
      </w:r>
      <w:r>
        <w:rPr>
          <w:rFonts w:eastAsia="Times New Roman"/>
          <w:i/>
          <w:iCs/>
          <w:color w:val="000000"/>
          <w:vertAlign w:val="subscript"/>
        </w:rPr>
        <w:t xml:space="preserve">1 </w:t>
      </w:r>
      <w:r>
        <w:rPr>
          <w:rFonts w:eastAsia="Times New Roman"/>
          <w:color w:val="000000"/>
        </w:rPr>
        <w:t xml:space="preserve">results in the Pure Guess model underestimating the peak of response error distribution around 0 seen in Figure 6. This suggests that a substantial portion of errors are not associated with intrusions, and that an additional source of error like the uniform guessing component of the other models is required to simultaneously account for these errors and the precision of target responses. However, as shown in Figure 7, the Pure Guess model does not predict the central tendency seen in the response error recentered on non-targets. The Intrusions + Guess model, with both guessing and intrusion components, </w:t>
      </w:r>
      <w:proofErr w:type="gramStart"/>
      <w:r>
        <w:rPr>
          <w:rFonts w:eastAsia="Times New Roman"/>
          <w:color w:val="000000"/>
        </w:rPr>
        <w:t>is able to</w:t>
      </w:r>
      <w:proofErr w:type="gramEnd"/>
      <w:r>
        <w:rPr>
          <w:rFonts w:eastAsia="Times New Roman"/>
          <w:color w:val="000000"/>
        </w:rPr>
        <w:t xml:space="preserve"> produce both patterns of data at the same time.</w:t>
      </w:r>
    </w:p>
    <w:tbl>
      <w:tblPr>
        <w:tblW w:w="0" w:type="auto"/>
        <w:tblLayout w:type="fixed"/>
        <w:tblLook w:val="04A0" w:firstRow="1" w:lastRow="0" w:firstColumn="1" w:lastColumn="0" w:noHBand="0" w:noVBand="1"/>
      </w:tblPr>
      <w:tblGrid>
        <w:gridCol w:w="911"/>
        <w:gridCol w:w="912"/>
        <w:gridCol w:w="912"/>
        <w:gridCol w:w="911"/>
        <w:gridCol w:w="912"/>
        <w:gridCol w:w="912"/>
        <w:gridCol w:w="911"/>
        <w:gridCol w:w="912"/>
        <w:gridCol w:w="912"/>
        <w:gridCol w:w="912"/>
      </w:tblGrid>
      <w:tr w:rsidR="00270C55" w:rsidRPr="00D15205" w14:paraId="16FD0BA5" w14:textId="77777777" w:rsidTr="00922E6F">
        <w:trPr>
          <w:trHeight w:val="299"/>
        </w:trPr>
        <w:tc>
          <w:tcPr>
            <w:tcW w:w="9117" w:type="dxa"/>
            <w:gridSpan w:val="10"/>
            <w:tcBorders>
              <w:left w:val="nil"/>
              <w:bottom w:val="single" w:sz="4" w:space="0" w:color="auto"/>
              <w:right w:val="nil"/>
            </w:tcBorders>
          </w:tcPr>
          <w:p w14:paraId="65CB1D36" w14:textId="64A47A0C" w:rsidR="00270C55" w:rsidRDefault="00270C55" w:rsidP="00922E6F">
            <w:pPr>
              <w:pStyle w:val="Caption"/>
            </w:pPr>
            <w:r>
              <w:t xml:space="preserve">Table </w:t>
            </w:r>
            <w:r w:rsidR="002256FD">
              <w:t>2</w:t>
            </w:r>
          </w:p>
          <w:p w14:paraId="3C2C9FD9" w14:textId="77777777" w:rsidR="00270C55" w:rsidRPr="00B26CD6" w:rsidRDefault="00270C55" w:rsidP="00922E6F">
            <w:pPr>
              <w:rPr>
                <w:i/>
                <w:iCs/>
              </w:rPr>
            </w:pPr>
            <w:r>
              <w:rPr>
                <w:i/>
                <w:iCs/>
              </w:rPr>
              <w:t>Average Parameter Value Estimates for Each Model</w:t>
            </w:r>
          </w:p>
        </w:tc>
      </w:tr>
      <w:tr w:rsidR="00270C55" w:rsidRPr="00D15205" w14:paraId="1B39A94E" w14:textId="77777777" w:rsidTr="00922E6F">
        <w:trPr>
          <w:trHeight w:val="299"/>
        </w:trPr>
        <w:tc>
          <w:tcPr>
            <w:tcW w:w="911" w:type="dxa"/>
            <w:tcBorders>
              <w:top w:val="single" w:sz="4" w:space="0" w:color="auto"/>
              <w:left w:val="nil"/>
              <w:bottom w:val="single" w:sz="4" w:space="0" w:color="auto"/>
              <w:right w:val="nil"/>
            </w:tcBorders>
          </w:tcPr>
          <w:p w14:paraId="04B47B2F" w14:textId="77777777" w:rsidR="00270C55" w:rsidRPr="0010687C" w:rsidRDefault="00270C55" w:rsidP="00922E6F">
            <w:pPr>
              <w:spacing w:line="240" w:lineRule="auto"/>
              <w:jc w:val="center"/>
              <w:rPr>
                <w:rFonts w:eastAsia="Times New Roman"/>
                <w:color w:val="000000"/>
              </w:rPr>
            </w:pPr>
            <w:r w:rsidRPr="0010687C">
              <w:rPr>
                <w:rFonts w:eastAsia="Times New Roman"/>
                <w:color w:val="000000"/>
              </w:rPr>
              <w:t>Model</w:t>
            </w:r>
          </w:p>
        </w:tc>
        <w:tc>
          <w:tcPr>
            <w:tcW w:w="912" w:type="dxa"/>
            <w:tcBorders>
              <w:top w:val="single" w:sz="4" w:space="0" w:color="auto"/>
              <w:left w:val="nil"/>
              <w:bottom w:val="single" w:sz="4" w:space="0" w:color="auto"/>
              <w:right w:val="nil"/>
            </w:tcBorders>
            <w:shd w:val="clear" w:color="auto" w:fill="auto"/>
            <w:noWrap/>
            <w:vAlign w:val="bottom"/>
            <w:hideMark/>
          </w:tcPr>
          <w:p w14:paraId="1AE65D11"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128D2859"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2</w:t>
            </w:r>
          </w:p>
        </w:tc>
        <w:tc>
          <w:tcPr>
            <w:tcW w:w="911" w:type="dxa"/>
            <w:tcBorders>
              <w:top w:val="single" w:sz="4" w:space="0" w:color="auto"/>
              <w:left w:val="nil"/>
              <w:bottom w:val="single" w:sz="4" w:space="0" w:color="auto"/>
              <w:right w:val="nil"/>
            </w:tcBorders>
            <w:vAlign w:val="bottom"/>
          </w:tcPr>
          <w:p w14:paraId="4C51A9A2" w14:textId="77777777" w:rsidR="00270C55" w:rsidRPr="0010687C" w:rsidRDefault="00270C55" w:rsidP="00922E6F">
            <w:pPr>
              <w:spacing w:line="240" w:lineRule="auto"/>
              <w:jc w:val="center"/>
              <w:rPr>
                <w:rFonts w:eastAsia="Times New Roman"/>
                <w:i/>
                <w:iCs/>
                <w:color w:val="000000"/>
              </w:rPr>
            </w:pPr>
            <w:r w:rsidRPr="0010687C">
              <w:rPr>
                <w:rFonts w:eastAsia="Times New Roman"/>
                <w:i/>
                <w:iCs/>
                <w:color w:val="000000"/>
              </w:rPr>
              <w:t>β</w:t>
            </w:r>
          </w:p>
        </w:tc>
        <w:tc>
          <w:tcPr>
            <w:tcW w:w="912" w:type="dxa"/>
            <w:tcBorders>
              <w:top w:val="single" w:sz="4" w:space="0" w:color="auto"/>
              <w:left w:val="nil"/>
              <w:bottom w:val="single" w:sz="4" w:space="0" w:color="auto"/>
              <w:right w:val="nil"/>
            </w:tcBorders>
            <w:shd w:val="clear" w:color="auto" w:fill="auto"/>
            <w:noWrap/>
            <w:vAlign w:val="bottom"/>
            <w:hideMark/>
          </w:tcPr>
          <w:p w14:paraId="73E59ABE"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γ</w:t>
            </w:r>
          </w:p>
        </w:tc>
        <w:tc>
          <w:tcPr>
            <w:tcW w:w="912" w:type="dxa"/>
            <w:tcBorders>
              <w:top w:val="single" w:sz="4" w:space="0" w:color="auto"/>
              <w:left w:val="nil"/>
              <w:bottom w:val="single" w:sz="4" w:space="0" w:color="auto"/>
              <w:right w:val="nil"/>
            </w:tcBorders>
            <w:shd w:val="clear" w:color="auto" w:fill="auto"/>
            <w:noWrap/>
            <w:vAlign w:val="bottom"/>
            <w:hideMark/>
          </w:tcPr>
          <w:p w14:paraId="4A6E64A2"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κ</w:t>
            </w:r>
          </w:p>
        </w:tc>
        <w:tc>
          <w:tcPr>
            <w:tcW w:w="911" w:type="dxa"/>
            <w:tcBorders>
              <w:top w:val="single" w:sz="4" w:space="0" w:color="auto"/>
              <w:left w:val="nil"/>
              <w:bottom w:val="single" w:sz="4" w:space="0" w:color="auto"/>
              <w:right w:val="nil"/>
            </w:tcBorders>
            <w:shd w:val="clear" w:color="auto" w:fill="auto"/>
            <w:noWrap/>
            <w:vAlign w:val="bottom"/>
            <w:hideMark/>
          </w:tcPr>
          <w:p w14:paraId="08176D34"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05C508E9" w14:textId="77777777" w:rsidR="00270C55" w:rsidRPr="00D15205" w:rsidRDefault="00270C55" w:rsidP="00922E6F">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72F37BC7"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ζ</w:t>
            </w:r>
          </w:p>
        </w:tc>
        <w:tc>
          <w:tcPr>
            <w:tcW w:w="912" w:type="dxa"/>
            <w:tcBorders>
              <w:top w:val="single" w:sz="4" w:space="0" w:color="auto"/>
              <w:left w:val="nil"/>
              <w:bottom w:val="single" w:sz="4" w:space="0" w:color="auto"/>
              <w:right w:val="nil"/>
            </w:tcBorders>
            <w:shd w:val="clear" w:color="auto" w:fill="auto"/>
            <w:noWrap/>
            <w:vAlign w:val="bottom"/>
            <w:hideMark/>
          </w:tcPr>
          <w:p w14:paraId="01E076C9" w14:textId="77777777" w:rsidR="00270C55" w:rsidRPr="00D15205" w:rsidRDefault="00270C55" w:rsidP="00922E6F">
            <w:pPr>
              <w:spacing w:line="240" w:lineRule="auto"/>
              <w:jc w:val="center"/>
              <w:rPr>
                <w:rFonts w:eastAsia="Times New Roman"/>
                <w:i/>
                <w:iCs/>
                <w:color w:val="000000"/>
              </w:rPr>
            </w:pPr>
            <w:r w:rsidRPr="0010687C">
              <w:rPr>
                <w:rFonts w:eastAsia="Times New Roman"/>
                <w:i/>
                <w:iCs/>
                <w:color w:val="000000"/>
              </w:rPr>
              <w:t>ρ</w:t>
            </w:r>
          </w:p>
        </w:tc>
      </w:tr>
      <w:tr w:rsidR="00270C55" w:rsidRPr="00D15205" w14:paraId="1BB36A13" w14:textId="77777777" w:rsidTr="00922E6F">
        <w:trPr>
          <w:trHeight w:val="299"/>
        </w:trPr>
        <w:tc>
          <w:tcPr>
            <w:tcW w:w="911" w:type="dxa"/>
            <w:tcBorders>
              <w:top w:val="single" w:sz="4" w:space="0" w:color="auto"/>
              <w:left w:val="nil"/>
              <w:bottom w:val="nil"/>
              <w:right w:val="nil"/>
            </w:tcBorders>
          </w:tcPr>
          <w:p w14:paraId="0E20D63B" w14:textId="77777777" w:rsidR="00270C55" w:rsidRPr="0010687C" w:rsidRDefault="00270C55" w:rsidP="00922E6F">
            <w:pPr>
              <w:spacing w:line="240" w:lineRule="auto"/>
              <w:jc w:val="center"/>
              <w:rPr>
                <w:rFonts w:eastAsia="Times New Roman"/>
                <w:color w:val="000000"/>
              </w:rPr>
            </w:pPr>
            <w:r w:rsidRPr="0010687C">
              <w:rPr>
                <w:rFonts w:eastAsia="Times New Roman"/>
                <w:color w:val="000000"/>
              </w:rPr>
              <w:t>1</w:t>
            </w:r>
          </w:p>
        </w:tc>
        <w:tc>
          <w:tcPr>
            <w:tcW w:w="912" w:type="dxa"/>
            <w:tcBorders>
              <w:top w:val="single" w:sz="4" w:space="0" w:color="auto"/>
              <w:left w:val="nil"/>
              <w:bottom w:val="nil"/>
              <w:right w:val="nil"/>
            </w:tcBorders>
            <w:shd w:val="clear" w:color="auto" w:fill="auto"/>
            <w:noWrap/>
            <w:vAlign w:val="bottom"/>
            <w:hideMark/>
          </w:tcPr>
          <w:p w14:paraId="1CC74517"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19.53</w:t>
            </w:r>
          </w:p>
        </w:tc>
        <w:tc>
          <w:tcPr>
            <w:tcW w:w="912" w:type="dxa"/>
            <w:tcBorders>
              <w:top w:val="single" w:sz="4" w:space="0" w:color="auto"/>
              <w:left w:val="nil"/>
              <w:bottom w:val="nil"/>
              <w:right w:val="nil"/>
            </w:tcBorders>
            <w:shd w:val="clear" w:color="auto" w:fill="auto"/>
            <w:noWrap/>
            <w:vAlign w:val="bottom"/>
            <w:hideMark/>
          </w:tcPr>
          <w:p w14:paraId="23B24AEA" w14:textId="77777777" w:rsidR="00270C55" w:rsidRPr="00D15205" w:rsidRDefault="00270C55" w:rsidP="00922E6F">
            <w:pPr>
              <w:spacing w:line="240" w:lineRule="auto"/>
              <w:jc w:val="center"/>
              <w:rPr>
                <w:rFonts w:eastAsia="Times New Roman"/>
                <w:color w:val="000000"/>
              </w:rPr>
            </w:pPr>
          </w:p>
        </w:tc>
        <w:tc>
          <w:tcPr>
            <w:tcW w:w="911" w:type="dxa"/>
            <w:tcBorders>
              <w:top w:val="single" w:sz="4" w:space="0" w:color="auto"/>
              <w:left w:val="nil"/>
              <w:bottom w:val="nil"/>
              <w:right w:val="nil"/>
            </w:tcBorders>
            <w:vAlign w:val="bottom"/>
          </w:tcPr>
          <w:p w14:paraId="09F0B865" w14:textId="77777777" w:rsidR="00270C55" w:rsidRPr="0010687C" w:rsidRDefault="00270C55" w:rsidP="00922E6F">
            <w:pPr>
              <w:spacing w:line="240" w:lineRule="auto"/>
              <w:jc w:val="center"/>
              <w:rPr>
                <w:rFonts w:eastAsia="Times New Roman"/>
              </w:rPr>
            </w:pPr>
            <w:r w:rsidRPr="00D15205">
              <w:rPr>
                <w:rFonts w:eastAsia="Times New Roman"/>
                <w:color w:val="000000"/>
              </w:rPr>
              <w:t>0.60</w:t>
            </w:r>
          </w:p>
        </w:tc>
        <w:tc>
          <w:tcPr>
            <w:tcW w:w="912" w:type="dxa"/>
            <w:tcBorders>
              <w:top w:val="single" w:sz="4" w:space="0" w:color="auto"/>
              <w:left w:val="nil"/>
              <w:bottom w:val="nil"/>
              <w:right w:val="nil"/>
            </w:tcBorders>
            <w:shd w:val="clear" w:color="auto" w:fill="auto"/>
            <w:noWrap/>
            <w:vAlign w:val="bottom"/>
            <w:hideMark/>
          </w:tcPr>
          <w:p w14:paraId="72DEB5CF" w14:textId="77777777" w:rsidR="00270C55" w:rsidRPr="00D15205" w:rsidRDefault="00270C55" w:rsidP="00922E6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64F1AC1A" w14:textId="77777777" w:rsidR="00270C55" w:rsidRPr="00D15205" w:rsidRDefault="00270C55" w:rsidP="00922E6F">
            <w:pPr>
              <w:spacing w:line="240" w:lineRule="auto"/>
              <w:jc w:val="center"/>
              <w:rPr>
                <w:rFonts w:eastAsia="Times New Roman"/>
              </w:rPr>
            </w:pPr>
          </w:p>
        </w:tc>
        <w:tc>
          <w:tcPr>
            <w:tcW w:w="911" w:type="dxa"/>
            <w:tcBorders>
              <w:top w:val="single" w:sz="4" w:space="0" w:color="auto"/>
              <w:left w:val="nil"/>
              <w:bottom w:val="nil"/>
              <w:right w:val="nil"/>
            </w:tcBorders>
            <w:shd w:val="clear" w:color="auto" w:fill="auto"/>
            <w:noWrap/>
            <w:vAlign w:val="bottom"/>
            <w:hideMark/>
          </w:tcPr>
          <w:p w14:paraId="26643C7C" w14:textId="77777777" w:rsidR="00270C55" w:rsidRPr="00D15205" w:rsidRDefault="00270C55" w:rsidP="00922E6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6E712F1F" w14:textId="77777777" w:rsidR="00270C55" w:rsidRPr="00D15205" w:rsidRDefault="00270C55" w:rsidP="00922E6F">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07299C72" w14:textId="77777777" w:rsidR="00270C55" w:rsidRPr="00D15205" w:rsidRDefault="00270C55" w:rsidP="00922E6F">
            <w:pPr>
              <w:spacing w:line="240" w:lineRule="auto"/>
              <w:jc w:val="center"/>
              <w:rPr>
                <w:rFonts w:eastAsia="Times New Roman"/>
                <w:color w:val="000000"/>
              </w:rPr>
            </w:pPr>
          </w:p>
        </w:tc>
        <w:tc>
          <w:tcPr>
            <w:tcW w:w="912" w:type="dxa"/>
            <w:tcBorders>
              <w:top w:val="single" w:sz="4" w:space="0" w:color="auto"/>
              <w:left w:val="nil"/>
              <w:bottom w:val="nil"/>
              <w:right w:val="nil"/>
            </w:tcBorders>
            <w:shd w:val="clear" w:color="auto" w:fill="auto"/>
            <w:noWrap/>
            <w:vAlign w:val="bottom"/>
            <w:hideMark/>
          </w:tcPr>
          <w:p w14:paraId="62636F58" w14:textId="77777777" w:rsidR="00270C55" w:rsidRPr="00D15205" w:rsidRDefault="00270C55" w:rsidP="00922E6F">
            <w:pPr>
              <w:spacing w:line="240" w:lineRule="auto"/>
              <w:jc w:val="center"/>
              <w:rPr>
                <w:rFonts w:eastAsia="Times New Roman"/>
              </w:rPr>
            </w:pPr>
          </w:p>
        </w:tc>
      </w:tr>
      <w:tr w:rsidR="00270C55" w:rsidRPr="00D15205" w14:paraId="3B6BA5F2" w14:textId="77777777" w:rsidTr="00922E6F">
        <w:trPr>
          <w:trHeight w:val="299"/>
        </w:trPr>
        <w:tc>
          <w:tcPr>
            <w:tcW w:w="911" w:type="dxa"/>
            <w:tcBorders>
              <w:top w:val="nil"/>
              <w:left w:val="nil"/>
              <w:bottom w:val="nil"/>
              <w:right w:val="nil"/>
            </w:tcBorders>
          </w:tcPr>
          <w:p w14:paraId="4CF90BFB" w14:textId="77777777" w:rsidR="00270C55" w:rsidRPr="0010687C" w:rsidRDefault="00270C55" w:rsidP="00922E6F">
            <w:pPr>
              <w:spacing w:line="240" w:lineRule="auto"/>
              <w:jc w:val="center"/>
              <w:rPr>
                <w:rFonts w:eastAsia="Times New Roman"/>
                <w:color w:val="000000"/>
              </w:rPr>
            </w:pPr>
            <w:r w:rsidRPr="0010687C">
              <w:rPr>
                <w:rFonts w:eastAsia="Times New Roman"/>
                <w:color w:val="000000"/>
              </w:rPr>
              <w:t>2</w:t>
            </w:r>
          </w:p>
        </w:tc>
        <w:tc>
          <w:tcPr>
            <w:tcW w:w="912" w:type="dxa"/>
            <w:tcBorders>
              <w:top w:val="nil"/>
              <w:left w:val="nil"/>
              <w:bottom w:val="nil"/>
              <w:right w:val="nil"/>
            </w:tcBorders>
            <w:shd w:val="clear" w:color="auto" w:fill="auto"/>
            <w:noWrap/>
            <w:vAlign w:val="bottom"/>
            <w:hideMark/>
          </w:tcPr>
          <w:p w14:paraId="094D750D"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5.31</w:t>
            </w:r>
          </w:p>
        </w:tc>
        <w:tc>
          <w:tcPr>
            <w:tcW w:w="912" w:type="dxa"/>
            <w:tcBorders>
              <w:top w:val="nil"/>
              <w:left w:val="nil"/>
              <w:bottom w:val="nil"/>
              <w:right w:val="nil"/>
            </w:tcBorders>
            <w:shd w:val="clear" w:color="auto" w:fill="auto"/>
            <w:noWrap/>
            <w:vAlign w:val="bottom"/>
            <w:hideMark/>
          </w:tcPr>
          <w:p w14:paraId="7B903788" w14:textId="77777777" w:rsidR="00270C55" w:rsidRPr="00D15205" w:rsidRDefault="00270C55" w:rsidP="00922E6F">
            <w:pPr>
              <w:spacing w:line="240" w:lineRule="auto"/>
              <w:jc w:val="center"/>
              <w:rPr>
                <w:rFonts w:eastAsia="Times New Roman"/>
                <w:color w:val="000000"/>
              </w:rPr>
            </w:pPr>
            <w:commentRangeStart w:id="20"/>
            <w:r>
              <w:rPr>
                <w:rFonts w:eastAsia="Times New Roman"/>
                <w:color w:val="000000"/>
              </w:rPr>
              <w:t>4.28</w:t>
            </w:r>
            <w:commentRangeEnd w:id="20"/>
            <w:r>
              <w:rPr>
                <w:rStyle w:val="CommentReference"/>
              </w:rPr>
              <w:commentReference w:id="20"/>
            </w:r>
          </w:p>
        </w:tc>
        <w:tc>
          <w:tcPr>
            <w:tcW w:w="911" w:type="dxa"/>
            <w:tcBorders>
              <w:top w:val="nil"/>
              <w:left w:val="nil"/>
              <w:bottom w:val="nil"/>
              <w:right w:val="nil"/>
            </w:tcBorders>
            <w:vAlign w:val="bottom"/>
          </w:tcPr>
          <w:p w14:paraId="66AF4501" w14:textId="77777777" w:rsidR="00270C55" w:rsidRPr="0010687C" w:rsidRDefault="00270C55" w:rsidP="00922E6F">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6CF72714"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0.46</w:t>
            </w:r>
          </w:p>
        </w:tc>
        <w:tc>
          <w:tcPr>
            <w:tcW w:w="912" w:type="dxa"/>
            <w:tcBorders>
              <w:top w:val="nil"/>
              <w:left w:val="nil"/>
              <w:bottom w:val="nil"/>
              <w:right w:val="nil"/>
            </w:tcBorders>
            <w:shd w:val="clear" w:color="auto" w:fill="auto"/>
            <w:noWrap/>
            <w:vAlign w:val="bottom"/>
            <w:hideMark/>
          </w:tcPr>
          <w:p w14:paraId="60A323CC" w14:textId="77777777" w:rsidR="00270C55" w:rsidRPr="00D15205" w:rsidRDefault="00270C55" w:rsidP="00922E6F">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6DA13AEC"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D5E6C90"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0A77C1D5"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2F53C2F9" w14:textId="77777777" w:rsidR="00270C55" w:rsidRPr="00D15205" w:rsidRDefault="00270C55" w:rsidP="00922E6F">
            <w:pPr>
              <w:spacing w:line="240" w:lineRule="auto"/>
              <w:jc w:val="center"/>
              <w:rPr>
                <w:rFonts w:eastAsia="Times New Roman"/>
              </w:rPr>
            </w:pPr>
          </w:p>
        </w:tc>
      </w:tr>
      <w:tr w:rsidR="00270C55" w:rsidRPr="00D15205" w14:paraId="1D483246" w14:textId="77777777" w:rsidTr="00922E6F">
        <w:trPr>
          <w:trHeight w:val="299"/>
        </w:trPr>
        <w:tc>
          <w:tcPr>
            <w:tcW w:w="911" w:type="dxa"/>
            <w:tcBorders>
              <w:top w:val="nil"/>
              <w:left w:val="nil"/>
              <w:bottom w:val="nil"/>
              <w:right w:val="nil"/>
            </w:tcBorders>
          </w:tcPr>
          <w:p w14:paraId="2BCA0670" w14:textId="77777777" w:rsidR="00270C55" w:rsidRPr="0010687C" w:rsidRDefault="00270C55" w:rsidP="00922E6F">
            <w:pPr>
              <w:spacing w:line="240" w:lineRule="auto"/>
              <w:jc w:val="center"/>
              <w:rPr>
                <w:rFonts w:eastAsia="Times New Roman"/>
                <w:color w:val="000000"/>
              </w:rPr>
            </w:pPr>
            <w:r>
              <w:rPr>
                <w:rFonts w:eastAsia="Times New Roman"/>
                <w:color w:val="000000"/>
              </w:rPr>
              <w:t>3</w:t>
            </w:r>
          </w:p>
        </w:tc>
        <w:tc>
          <w:tcPr>
            <w:tcW w:w="912" w:type="dxa"/>
            <w:tcBorders>
              <w:top w:val="nil"/>
              <w:left w:val="nil"/>
              <w:bottom w:val="nil"/>
              <w:right w:val="nil"/>
            </w:tcBorders>
            <w:shd w:val="clear" w:color="auto" w:fill="auto"/>
            <w:noWrap/>
            <w:vAlign w:val="bottom"/>
            <w:hideMark/>
          </w:tcPr>
          <w:p w14:paraId="0065C225"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19.06</w:t>
            </w:r>
          </w:p>
        </w:tc>
        <w:tc>
          <w:tcPr>
            <w:tcW w:w="912" w:type="dxa"/>
            <w:tcBorders>
              <w:top w:val="nil"/>
              <w:left w:val="nil"/>
              <w:bottom w:val="nil"/>
              <w:right w:val="nil"/>
            </w:tcBorders>
            <w:shd w:val="clear" w:color="auto" w:fill="auto"/>
            <w:noWrap/>
            <w:vAlign w:val="bottom"/>
            <w:hideMark/>
          </w:tcPr>
          <w:p w14:paraId="5AD5B58B"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14.64</w:t>
            </w:r>
          </w:p>
        </w:tc>
        <w:tc>
          <w:tcPr>
            <w:tcW w:w="911" w:type="dxa"/>
            <w:tcBorders>
              <w:top w:val="nil"/>
              <w:left w:val="nil"/>
              <w:bottom w:val="nil"/>
              <w:right w:val="nil"/>
            </w:tcBorders>
            <w:vAlign w:val="bottom"/>
          </w:tcPr>
          <w:p w14:paraId="53A286DD" w14:textId="77777777" w:rsidR="00270C55" w:rsidRPr="0010687C" w:rsidRDefault="00270C55" w:rsidP="00922E6F">
            <w:pPr>
              <w:spacing w:line="240" w:lineRule="auto"/>
              <w:jc w:val="center"/>
              <w:rPr>
                <w:rFonts w:eastAsia="Times New Roman"/>
                <w:color w:val="000000"/>
              </w:rPr>
            </w:pPr>
            <w:r w:rsidRPr="00D15205">
              <w:rPr>
                <w:rFonts w:eastAsia="Times New Roman"/>
                <w:color w:val="000000"/>
              </w:rPr>
              <w:t>0.36</w:t>
            </w:r>
          </w:p>
        </w:tc>
        <w:tc>
          <w:tcPr>
            <w:tcW w:w="912" w:type="dxa"/>
            <w:tcBorders>
              <w:top w:val="nil"/>
              <w:left w:val="nil"/>
              <w:bottom w:val="nil"/>
              <w:right w:val="nil"/>
            </w:tcBorders>
            <w:shd w:val="clear" w:color="auto" w:fill="auto"/>
            <w:noWrap/>
            <w:vAlign w:val="bottom"/>
            <w:hideMark/>
          </w:tcPr>
          <w:p w14:paraId="1D1CADB2"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0.24</w:t>
            </w:r>
          </w:p>
        </w:tc>
        <w:tc>
          <w:tcPr>
            <w:tcW w:w="912" w:type="dxa"/>
            <w:tcBorders>
              <w:top w:val="nil"/>
              <w:left w:val="nil"/>
              <w:bottom w:val="nil"/>
              <w:right w:val="nil"/>
            </w:tcBorders>
            <w:shd w:val="clear" w:color="auto" w:fill="auto"/>
            <w:noWrap/>
            <w:vAlign w:val="bottom"/>
            <w:hideMark/>
          </w:tcPr>
          <w:p w14:paraId="70403E3B" w14:textId="77777777" w:rsidR="00270C55" w:rsidRPr="00D15205" w:rsidRDefault="00270C55" w:rsidP="00922E6F">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6BA062F4"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03011EDC" w14:textId="77777777" w:rsidR="00270C55" w:rsidRPr="00D15205" w:rsidRDefault="00270C55" w:rsidP="00922E6F">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D0986E8" w14:textId="77777777" w:rsidR="00270C55" w:rsidRPr="00D15205" w:rsidRDefault="00270C55" w:rsidP="00922E6F">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518959D5" w14:textId="77777777" w:rsidR="00270C55" w:rsidRPr="00D15205" w:rsidRDefault="00270C55" w:rsidP="00922E6F">
            <w:pPr>
              <w:spacing w:line="240" w:lineRule="auto"/>
              <w:jc w:val="center"/>
              <w:rPr>
                <w:rFonts w:eastAsia="Times New Roman"/>
              </w:rPr>
            </w:pPr>
          </w:p>
        </w:tc>
      </w:tr>
      <w:tr w:rsidR="00270C55" w:rsidRPr="00D15205" w14:paraId="1C8E7A9F" w14:textId="77777777" w:rsidTr="00922E6F">
        <w:trPr>
          <w:trHeight w:val="299"/>
        </w:trPr>
        <w:tc>
          <w:tcPr>
            <w:tcW w:w="911" w:type="dxa"/>
            <w:tcBorders>
              <w:top w:val="nil"/>
              <w:left w:val="nil"/>
              <w:right w:val="nil"/>
            </w:tcBorders>
          </w:tcPr>
          <w:p w14:paraId="75BD5E80" w14:textId="77777777" w:rsidR="00270C55" w:rsidRPr="0010687C" w:rsidRDefault="00270C55" w:rsidP="00922E6F">
            <w:pPr>
              <w:spacing w:line="240" w:lineRule="auto"/>
              <w:jc w:val="center"/>
              <w:rPr>
                <w:rFonts w:eastAsia="Times New Roman"/>
                <w:color w:val="000000"/>
              </w:rPr>
            </w:pPr>
            <w:r>
              <w:rPr>
                <w:rFonts w:eastAsia="Times New Roman"/>
                <w:color w:val="000000"/>
              </w:rPr>
              <w:t>4</w:t>
            </w:r>
          </w:p>
        </w:tc>
        <w:tc>
          <w:tcPr>
            <w:tcW w:w="912" w:type="dxa"/>
            <w:tcBorders>
              <w:top w:val="nil"/>
              <w:left w:val="nil"/>
              <w:right w:val="nil"/>
            </w:tcBorders>
            <w:shd w:val="clear" w:color="auto" w:fill="auto"/>
            <w:noWrap/>
            <w:vAlign w:val="bottom"/>
            <w:hideMark/>
          </w:tcPr>
          <w:p w14:paraId="7CDF41BE"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16.02</w:t>
            </w:r>
          </w:p>
        </w:tc>
        <w:tc>
          <w:tcPr>
            <w:tcW w:w="912" w:type="dxa"/>
            <w:tcBorders>
              <w:top w:val="nil"/>
              <w:left w:val="nil"/>
              <w:right w:val="nil"/>
            </w:tcBorders>
            <w:shd w:val="clear" w:color="auto" w:fill="auto"/>
            <w:noWrap/>
            <w:vAlign w:val="bottom"/>
            <w:hideMark/>
          </w:tcPr>
          <w:p w14:paraId="1BEA0FEF"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10.10</w:t>
            </w:r>
          </w:p>
        </w:tc>
        <w:tc>
          <w:tcPr>
            <w:tcW w:w="911" w:type="dxa"/>
            <w:tcBorders>
              <w:top w:val="nil"/>
              <w:left w:val="nil"/>
              <w:right w:val="nil"/>
            </w:tcBorders>
            <w:vAlign w:val="bottom"/>
          </w:tcPr>
          <w:p w14:paraId="7D720BAD" w14:textId="77777777" w:rsidR="00270C55" w:rsidRPr="0010687C" w:rsidRDefault="00270C55" w:rsidP="00922E6F">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right w:val="nil"/>
            </w:tcBorders>
            <w:shd w:val="clear" w:color="auto" w:fill="auto"/>
            <w:noWrap/>
            <w:vAlign w:val="bottom"/>
            <w:hideMark/>
          </w:tcPr>
          <w:p w14:paraId="1B36F378"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0.58</w:t>
            </w:r>
          </w:p>
        </w:tc>
        <w:tc>
          <w:tcPr>
            <w:tcW w:w="912" w:type="dxa"/>
            <w:tcBorders>
              <w:top w:val="nil"/>
              <w:left w:val="nil"/>
              <w:right w:val="nil"/>
            </w:tcBorders>
            <w:shd w:val="clear" w:color="auto" w:fill="auto"/>
            <w:noWrap/>
            <w:vAlign w:val="bottom"/>
            <w:hideMark/>
          </w:tcPr>
          <w:p w14:paraId="262713BE"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right w:val="nil"/>
            </w:tcBorders>
            <w:shd w:val="clear" w:color="auto" w:fill="auto"/>
            <w:noWrap/>
            <w:vAlign w:val="bottom"/>
            <w:hideMark/>
          </w:tcPr>
          <w:p w14:paraId="442D2EFF"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0.89</w:t>
            </w:r>
          </w:p>
        </w:tc>
        <w:tc>
          <w:tcPr>
            <w:tcW w:w="912" w:type="dxa"/>
            <w:tcBorders>
              <w:top w:val="nil"/>
              <w:left w:val="nil"/>
              <w:right w:val="nil"/>
            </w:tcBorders>
            <w:shd w:val="clear" w:color="auto" w:fill="auto"/>
            <w:noWrap/>
            <w:vAlign w:val="bottom"/>
            <w:hideMark/>
          </w:tcPr>
          <w:p w14:paraId="1470D7B6"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1.08</w:t>
            </w:r>
          </w:p>
        </w:tc>
        <w:tc>
          <w:tcPr>
            <w:tcW w:w="912" w:type="dxa"/>
            <w:tcBorders>
              <w:top w:val="nil"/>
              <w:left w:val="nil"/>
              <w:right w:val="nil"/>
            </w:tcBorders>
            <w:shd w:val="clear" w:color="auto" w:fill="auto"/>
            <w:noWrap/>
            <w:vAlign w:val="bottom"/>
            <w:hideMark/>
          </w:tcPr>
          <w:p w14:paraId="48102A3F" w14:textId="77777777" w:rsidR="00270C55" w:rsidRPr="00D15205" w:rsidRDefault="00270C55" w:rsidP="00922E6F">
            <w:pPr>
              <w:spacing w:line="240" w:lineRule="auto"/>
              <w:jc w:val="center"/>
              <w:rPr>
                <w:rFonts w:eastAsia="Times New Roman"/>
                <w:color w:val="000000"/>
              </w:rPr>
            </w:pPr>
          </w:p>
        </w:tc>
        <w:tc>
          <w:tcPr>
            <w:tcW w:w="912" w:type="dxa"/>
            <w:tcBorders>
              <w:top w:val="nil"/>
              <w:left w:val="nil"/>
              <w:right w:val="nil"/>
            </w:tcBorders>
            <w:shd w:val="clear" w:color="auto" w:fill="auto"/>
            <w:noWrap/>
            <w:vAlign w:val="bottom"/>
            <w:hideMark/>
          </w:tcPr>
          <w:p w14:paraId="2F319784" w14:textId="77777777" w:rsidR="00270C55" w:rsidRPr="00D15205" w:rsidRDefault="00270C55" w:rsidP="00922E6F">
            <w:pPr>
              <w:spacing w:line="240" w:lineRule="auto"/>
              <w:jc w:val="center"/>
              <w:rPr>
                <w:rFonts w:eastAsia="Times New Roman"/>
              </w:rPr>
            </w:pPr>
          </w:p>
        </w:tc>
      </w:tr>
      <w:tr w:rsidR="00270C55" w:rsidRPr="00D15205" w14:paraId="6D95C77D" w14:textId="77777777" w:rsidTr="00922E6F">
        <w:trPr>
          <w:trHeight w:val="299"/>
        </w:trPr>
        <w:tc>
          <w:tcPr>
            <w:tcW w:w="911" w:type="dxa"/>
            <w:tcBorders>
              <w:top w:val="nil"/>
              <w:left w:val="nil"/>
              <w:bottom w:val="single" w:sz="4" w:space="0" w:color="auto"/>
              <w:right w:val="nil"/>
            </w:tcBorders>
          </w:tcPr>
          <w:p w14:paraId="2102ED2C" w14:textId="77777777" w:rsidR="00270C55" w:rsidRPr="0010687C" w:rsidRDefault="00270C55" w:rsidP="00922E6F">
            <w:pPr>
              <w:spacing w:line="240" w:lineRule="auto"/>
              <w:jc w:val="center"/>
              <w:rPr>
                <w:rFonts w:eastAsia="Times New Roman"/>
                <w:color w:val="000000"/>
              </w:rPr>
            </w:pPr>
            <w:r>
              <w:rPr>
                <w:rFonts w:eastAsia="Times New Roman"/>
                <w:color w:val="000000"/>
              </w:rPr>
              <w:t>5</w:t>
            </w:r>
          </w:p>
        </w:tc>
        <w:tc>
          <w:tcPr>
            <w:tcW w:w="912" w:type="dxa"/>
            <w:tcBorders>
              <w:top w:val="nil"/>
              <w:left w:val="nil"/>
              <w:bottom w:val="single" w:sz="4" w:space="0" w:color="auto"/>
              <w:right w:val="nil"/>
            </w:tcBorders>
            <w:shd w:val="clear" w:color="auto" w:fill="auto"/>
            <w:noWrap/>
            <w:vAlign w:val="bottom"/>
            <w:hideMark/>
          </w:tcPr>
          <w:p w14:paraId="0851686F"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18.82</w:t>
            </w:r>
          </w:p>
        </w:tc>
        <w:tc>
          <w:tcPr>
            <w:tcW w:w="912" w:type="dxa"/>
            <w:tcBorders>
              <w:top w:val="nil"/>
              <w:left w:val="nil"/>
              <w:bottom w:val="single" w:sz="4" w:space="0" w:color="auto"/>
              <w:right w:val="nil"/>
            </w:tcBorders>
            <w:shd w:val="clear" w:color="auto" w:fill="auto"/>
            <w:noWrap/>
            <w:vAlign w:val="bottom"/>
            <w:hideMark/>
          </w:tcPr>
          <w:p w14:paraId="36202DB0"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8.86</w:t>
            </w:r>
          </w:p>
        </w:tc>
        <w:tc>
          <w:tcPr>
            <w:tcW w:w="911" w:type="dxa"/>
            <w:tcBorders>
              <w:top w:val="nil"/>
              <w:left w:val="nil"/>
              <w:bottom w:val="single" w:sz="4" w:space="0" w:color="auto"/>
              <w:right w:val="nil"/>
            </w:tcBorders>
            <w:vAlign w:val="bottom"/>
          </w:tcPr>
          <w:p w14:paraId="0B8577BB" w14:textId="77777777" w:rsidR="00270C55" w:rsidRPr="0010687C" w:rsidRDefault="00270C55" w:rsidP="00922E6F">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bottom w:val="single" w:sz="4" w:space="0" w:color="auto"/>
              <w:right w:val="nil"/>
            </w:tcBorders>
            <w:shd w:val="clear" w:color="auto" w:fill="auto"/>
            <w:noWrap/>
            <w:vAlign w:val="bottom"/>
            <w:hideMark/>
          </w:tcPr>
          <w:p w14:paraId="1A4EFCA7"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0.22</w:t>
            </w:r>
          </w:p>
        </w:tc>
        <w:tc>
          <w:tcPr>
            <w:tcW w:w="912" w:type="dxa"/>
            <w:tcBorders>
              <w:top w:val="nil"/>
              <w:left w:val="nil"/>
              <w:bottom w:val="single" w:sz="4" w:space="0" w:color="auto"/>
              <w:right w:val="nil"/>
            </w:tcBorders>
            <w:shd w:val="clear" w:color="auto" w:fill="auto"/>
            <w:noWrap/>
            <w:vAlign w:val="bottom"/>
            <w:hideMark/>
          </w:tcPr>
          <w:p w14:paraId="633F6397"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bottom w:val="single" w:sz="4" w:space="0" w:color="auto"/>
              <w:right w:val="nil"/>
            </w:tcBorders>
            <w:shd w:val="clear" w:color="auto" w:fill="auto"/>
            <w:noWrap/>
            <w:vAlign w:val="bottom"/>
            <w:hideMark/>
          </w:tcPr>
          <w:p w14:paraId="11DC784B"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1.69</w:t>
            </w:r>
          </w:p>
        </w:tc>
        <w:tc>
          <w:tcPr>
            <w:tcW w:w="912" w:type="dxa"/>
            <w:tcBorders>
              <w:top w:val="nil"/>
              <w:left w:val="nil"/>
              <w:bottom w:val="single" w:sz="4" w:space="0" w:color="auto"/>
              <w:right w:val="nil"/>
            </w:tcBorders>
            <w:shd w:val="clear" w:color="auto" w:fill="auto"/>
            <w:noWrap/>
            <w:vAlign w:val="bottom"/>
            <w:hideMark/>
          </w:tcPr>
          <w:p w14:paraId="51FF7FF4"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1.55</w:t>
            </w:r>
          </w:p>
        </w:tc>
        <w:tc>
          <w:tcPr>
            <w:tcW w:w="912" w:type="dxa"/>
            <w:tcBorders>
              <w:top w:val="nil"/>
              <w:left w:val="nil"/>
              <w:bottom w:val="single" w:sz="4" w:space="0" w:color="auto"/>
              <w:right w:val="nil"/>
            </w:tcBorders>
            <w:shd w:val="clear" w:color="auto" w:fill="auto"/>
            <w:noWrap/>
            <w:vAlign w:val="bottom"/>
            <w:hideMark/>
          </w:tcPr>
          <w:p w14:paraId="51DCA202"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0.52</w:t>
            </w:r>
          </w:p>
        </w:tc>
        <w:tc>
          <w:tcPr>
            <w:tcW w:w="912" w:type="dxa"/>
            <w:tcBorders>
              <w:top w:val="nil"/>
              <w:left w:val="nil"/>
              <w:bottom w:val="single" w:sz="4" w:space="0" w:color="auto"/>
              <w:right w:val="nil"/>
            </w:tcBorders>
            <w:shd w:val="clear" w:color="auto" w:fill="auto"/>
            <w:noWrap/>
            <w:vAlign w:val="bottom"/>
            <w:hideMark/>
          </w:tcPr>
          <w:p w14:paraId="184015EC" w14:textId="77777777" w:rsidR="00270C55" w:rsidRPr="00D15205" w:rsidRDefault="00270C55" w:rsidP="00922E6F">
            <w:pPr>
              <w:spacing w:line="240" w:lineRule="auto"/>
              <w:jc w:val="center"/>
              <w:rPr>
                <w:rFonts w:eastAsia="Times New Roman"/>
                <w:color w:val="000000"/>
              </w:rPr>
            </w:pPr>
            <w:r w:rsidRPr="00D15205">
              <w:rPr>
                <w:rFonts w:eastAsia="Times New Roman"/>
                <w:color w:val="000000"/>
              </w:rPr>
              <w:t>0.63</w:t>
            </w:r>
          </w:p>
        </w:tc>
      </w:tr>
    </w:tbl>
    <w:p w14:paraId="2CCF597D" w14:textId="2612EE90" w:rsidR="00270C55" w:rsidRDefault="00270C55" w:rsidP="00364195"/>
    <w:p w14:paraId="467E3FCD" w14:textId="77777777" w:rsidR="00D83317" w:rsidRPr="005614B7" w:rsidRDefault="00D83317" w:rsidP="00D83317"/>
    <w:p w14:paraId="74627130" w14:textId="77777777" w:rsidR="00D83317" w:rsidRDefault="00D83317" w:rsidP="00D83317">
      <w:pPr>
        <w:pStyle w:val="Caption"/>
        <w:keepNext/>
      </w:pPr>
      <w:r>
        <w:lastRenderedPageBreak/>
        <w:t xml:space="preserve">Figure </w:t>
      </w:r>
      <w:fldSimple w:instr=" SEQ Figure \* ARABIC ">
        <w:r>
          <w:rPr>
            <w:noProof/>
          </w:rPr>
          <w:t>6</w:t>
        </w:r>
      </w:fldSimple>
    </w:p>
    <w:p w14:paraId="7F9D36D8" w14:textId="77777777" w:rsidR="00D83317" w:rsidRPr="005614B7" w:rsidRDefault="00D83317" w:rsidP="00D83317">
      <w:pPr>
        <w:rPr>
          <w:i/>
          <w:iCs/>
        </w:rPr>
      </w:pPr>
      <w:r>
        <w:rPr>
          <w:i/>
          <w:iCs/>
        </w:rPr>
        <w:t>Comparison of Pure Guess and Pure Intrusion Models to Response Error data</w:t>
      </w:r>
    </w:p>
    <w:p w14:paraId="4D4DF8C6" w14:textId="77777777" w:rsidR="00D83317" w:rsidRDefault="00D83317" w:rsidP="00D83317">
      <w:r>
        <w:rPr>
          <w:noProof/>
        </w:rPr>
        <w:drawing>
          <wp:inline distT="0" distB="0" distL="0" distR="0" wp14:anchorId="6EE07078" wp14:editId="46A466A5">
            <wp:extent cx="5748940" cy="44594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049" cy="4462645"/>
                    </a:xfrm>
                    <a:prstGeom prst="rect">
                      <a:avLst/>
                    </a:prstGeom>
                  </pic:spPr>
                </pic:pic>
              </a:graphicData>
            </a:graphic>
          </wp:inline>
        </w:drawing>
      </w:r>
    </w:p>
    <w:p w14:paraId="434DAAF5" w14:textId="77777777" w:rsidR="00D83317" w:rsidRDefault="00D83317" w:rsidP="00D83317">
      <w:pPr>
        <w:pStyle w:val="Caption"/>
        <w:keepNext/>
      </w:pPr>
      <w:r>
        <w:t xml:space="preserve">Figure </w:t>
      </w:r>
      <w:fldSimple w:instr=" SEQ Figure \* ARABIC ">
        <w:r>
          <w:rPr>
            <w:noProof/>
          </w:rPr>
          <w:t>7</w:t>
        </w:r>
      </w:fldSimple>
    </w:p>
    <w:p w14:paraId="15A4497B" w14:textId="77777777" w:rsidR="00D83317" w:rsidRPr="009A27DC" w:rsidRDefault="00D83317" w:rsidP="00D83317">
      <w:pPr>
        <w:rPr>
          <w:i/>
          <w:iCs/>
        </w:rPr>
      </w:pPr>
      <w:r>
        <w:rPr>
          <w:i/>
          <w:iCs/>
        </w:rPr>
        <w:t>Comparison of Pure Guess and Pure Intrusion Models to Recentered Error data</w:t>
      </w:r>
    </w:p>
    <w:p w14:paraId="5AA3AA4E" w14:textId="77777777" w:rsidR="00D83317" w:rsidRDefault="00D83317" w:rsidP="00D83317">
      <w:r>
        <w:rPr>
          <w:noProof/>
        </w:rPr>
        <w:lastRenderedPageBreak/>
        <w:drawing>
          <wp:inline distT="0" distB="0" distL="0" distR="0" wp14:anchorId="60349BD1" wp14:editId="56DE3E3B">
            <wp:extent cx="5971735" cy="46322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1059" cy="4647271"/>
                    </a:xfrm>
                    <a:prstGeom prst="rect">
                      <a:avLst/>
                    </a:prstGeom>
                  </pic:spPr>
                </pic:pic>
              </a:graphicData>
            </a:graphic>
          </wp:inline>
        </w:drawing>
      </w:r>
    </w:p>
    <w:p w14:paraId="5B9D349E" w14:textId="5CE1057C" w:rsidR="00270C55" w:rsidRDefault="00D83317" w:rsidP="009028F6">
      <w:pPr>
        <w:ind w:firstLine="720"/>
        <w:rPr>
          <w:rFonts w:eastAsia="Times New Roman"/>
          <w:color w:val="000000"/>
        </w:rPr>
      </w:pPr>
      <w:r>
        <w:rPr>
          <w:rFonts w:eastAsia="Times New Roman"/>
          <w:color w:val="000000"/>
        </w:rPr>
        <w:t>It is worth noting that the Pure Guess and Intrusion + Guess models agree on the proportion of non-target responses (</w:t>
      </w:r>
      <w:proofErr w:type="gramStart"/>
      <w:r w:rsidRPr="0010687C">
        <w:rPr>
          <w:rFonts w:eastAsia="Times New Roman"/>
          <w:i/>
          <w:iCs/>
          <w:color w:val="000000"/>
        </w:rPr>
        <w:t>β</w:t>
      </w:r>
      <w:r>
        <w:rPr>
          <w:rFonts w:eastAsia="Times New Roman"/>
          <w:color w:val="000000"/>
        </w:rPr>
        <w:t xml:space="preserve">  =</w:t>
      </w:r>
      <w:proofErr w:type="gramEnd"/>
      <w:r>
        <w:rPr>
          <w:rFonts w:eastAsia="Times New Roman"/>
          <w:color w:val="000000"/>
        </w:rPr>
        <w:t xml:space="preserve"> 0.60 in Model 1, </w:t>
      </w:r>
      <w:r w:rsidRPr="0010687C">
        <w:rPr>
          <w:rFonts w:eastAsia="Times New Roman"/>
          <w:i/>
          <w:iCs/>
          <w:color w:val="000000"/>
        </w:rPr>
        <w:t>β</w:t>
      </w:r>
      <w:r>
        <w:rPr>
          <w:rFonts w:eastAsia="Times New Roman"/>
          <w:i/>
          <w:iCs/>
          <w:color w:val="000000"/>
        </w:rPr>
        <w:t xml:space="preserve"> + </w:t>
      </w:r>
      <w:r w:rsidRPr="0010687C">
        <w:rPr>
          <w:rFonts w:eastAsia="Times New Roman"/>
          <w:i/>
          <w:iCs/>
          <w:color w:val="000000"/>
        </w:rPr>
        <w:t>γ</w:t>
      </w:r>
      <w:r>
        <w:rPr>
          <w:rFonts w:eastAsia="Times New Roman"/>
          <w:i/>
          <w:iCs/>
          <w:color w:val="000000"/>
        </w:rPr>
        <w:t xml:space="preserve"> = </w:t>
      </w:r>
      <w:r>
        <w:rPr>
          <w:rFonts w:eastAsia="Times New Roman"/>
          <w:color w:val="000000"/>
        </w:rPr>
        <w:t>0.60 in Model 3), but contrary to our expectations, the inclusion of temporal and spatiotemporal gradients did not further decrease the proportion of guesses relative to the flat gradient in the Intrusion + Guess model.</w:t>
      </w:r>
    </w:p>
    <w:p w14:paraId="3F9C5CD0" w14:textId="77777777" w:rsidR="009028F6" w:rsidRDefault="009028F6" w:rsidP="009028F6">
      <w:pPr>
        <w:ind w:firstLine="720"/>
      </w:pPr>
    </w:p>
    <w:p w14:paraId="6FC88DC0" w14:textId="3B131417" w:rsidR="0019414A" w:rsidRDefault="002256FD" w:rsidP="002256FD">
      <w:pPr>
        <w:pStyle w:val="Heading3"/>
      </w:pPr>
      <w:r>
        <w:t>Similarity Gradients on Intrusion Probability</w:t>
      </w:r>
    </w:p>
    <w:p w14:paraId="1AD7D885" w14:textId="65F67DC3" w:rsidR="001E1700" w:rsidRDefault="001E1700" w:rsidP="00270C55"/>
    <w:p w14:paraId="42EB45FD" w14:textId="1A50080F" w:rsidR="00BC16B0" w:rsidRDefault="00BC16B0" w:rsidP="00BC16B0">
      <w:pPr>
        <w:pStyle w:val="Caption"/>
        <w:keepNext/>
      </w:pPr>
      <w:r>
        <w:t xml:space="preserve">Figure </w:t>
      </w:r>
      <w:fldSimple w:instr=" SEQ Figure \* ARABIC ">
        <w:r>
          <w:rPr>
            <w:noProof/>
          </w:rPr>
          <w:t>8</w:t>
        </w:r>
      </w:fldSimple>
    </w:p>
    <w:p w14:paraId="0B51F3A8" w14:textId="6A979F75" w:rsidR="00BC16B0" w:rsidRPr="00BC16B0" w:rsidRDefault="00BC16B0" w:rsidP="00BC16B0">
      <w:pPr>
        <w:rPr>
          <w:i/>
          <w:iCs/>
        </w:rPr>
      </w:pPr>
      <w:r>
        <w:rPr>
          <w:i/>
          <w:iCs/>
        </w:rPr>
        <w:t>Comparison of Intrusion + Guess, Temporal, and Spatiotemporal Gradient Model Fits.</w:t>
      </w:r>
    </w:p>
    <w:p w14:paraId="1D67EBCF" w14:textId="4677E3FB" w:rsidR="00B26CD6" w:rsidRDefault="001E1700" w:rsidP="0019414A">
      <w:r>
        <w:rPr>
          <w:noProof/>
        </w:rPr>
        <w:lastRenderedPageBreak/>
        <w:drawing>
          <wp:inline distT="0" distB="0" distL="0" distR="0" wp14:anchorId="0071F3DF" wp14:editId="5D0B33AE">
            <wp:extent cx="5667332" cy="43961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7438" cy="4403993"/>
                    </a:xfrm>
                    <a:prstGeom prst="rect">
                      <a:avLst/>
                    </a:prstGeom>
                  </pic:spPr>
                </pic:pic>
              </a:graphicData>
            </a:graphic>
          </wp:inline>
        </w:drawing>
      </w:r>
    </w:p>
    <w:p w14:paraId="1C830A3B" w14:textId="0DEEE9E4" w:rsidR="00A60491" w:rsidRPr="00BC16B0" w:rsidRDefault="00BC16B0" w:rsidP="0019414A">
      <w:r>
        <w:rPr>
          <w:i/>
          <w:iCs/>
        </w:rPr>
        <w:t>Note</w:t>
      </w:r>
      <w:r>
        <w:t xml:space="preserve">. </w:t>
      </w:r>
      <w:r w:rsidR="00FC03C6">
        <w:t>All three models have both an intrusion and guessing component. I</w:t>
      </w:r>
      <w:r>
        <w:t xml:space="preserve">n the Intrusion + Guess model, all non-targets are equally likely to intrude, while in the temporal and spatiotemporal models, intrusions are individually determined by the respective similarity gradients. </w:t>
      </w:r>
    </w:p>
    <w:p w14:paraId="79E2A43E" w14:textId="77777777" w:rsidR="00D15205" w:rsidRDefault="00D15205" w:rsidP="00D15205"/>
    <w:p w14:paraId="2EA1A5BA" w14:textId="75C2A271" w:rsidR="007165B0" w:rsidRDefault="007165B0" w:rsidP="007165B0">
      <w:pPr>
        <w:jc w:val="center"/>
      </w:pPr>
    </w:p>
    <w:p w14:paraId="66E9791B" w14:textId="708C1B89" w:rsidR="007165B0" w:rsidRDefault="007165B0" w:rsidP="007165B0">
      <w:pPr>
        <w:jc w:val="center"/>
      </w:pPr>
    </w:p>
    <w:p w14:paraId="1CE166DD" w14:textId="693E85E9" w:rsidR="007165B0" w:rsidRDefault="007165B0" w:rsidP="007165B0">
      <w:pPr>
        <w:jc w:val="center"/>
      </w:pPr>
    </w:p>
    <w:p w14:paraId="1EA428E4" w14:textId="3C546F7E" w:rsidR="007165B0" w:rsidRDefault="007165B0" w:rsidP="007165B0">
      <w:pPr>
        <w:jc w:val="center"/>
      </w:pPr>
      <w:r>
        <w:rPr>
          <w:noProof/>
        </w:rPr>
        <w:lastRenderedPageBreak/>
        <w:drawing>
          <wp:inline distT="0" distB="0" distL="0" distR="0" wp14:anchorId="0E46100A" wp14:editId="7E53D129">
            <wp:extent cx="6077243" cy="4714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90318" cy="4724267"/>
                    </a:xfrm>
                    <a:prstGeom prst="rect">
                      <a:avLst/>
                    </a:prstGeom>
                  </pic:spPr>
                </pic:pic>
              </a:graphicData>
            </a:graphic>
          </wp:inline>
        </w:drawing>
      </w:r>
    </w:p>
    <w:p w14:paraId="3DAA7E1F" w14:textId="0E159772" w:rsidR="00AA4910" w:rsidRDefault="00AA4910" w:rsidP="000A078C">
      <w:pPr>
        <w:pStyle w:val="Heading2"/>
        <w:ind w:firstLine="0"/>
        <w:rPr>
          <w:noProof/>
        </w:rPr>
      </w:pPr>
    </w:p>
    <w:p w14:paraId="6D5FA3BD" w14:textId="3514EA23" w:rsidR="00B467EC" w:rsidRPr="00B467EC" w:rsidRDefault="00B467EC" w:rsidP="00B467EC">
      <w:r>
        <w:rPr>
          <w:noProof/>
        </w:rPr>
        <w:drawing>
          <wp:inline distT="0" distB="0" distL="0" distR="0" wp14:anchorId="7E671D06" wp14:editId="54D166FD">
            <wp:extent cx="5423179" cy="3041806"/>
            <wp:effectExtent l="0" t="0" r="635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1"/>
                    <a:stretch>
                      <a:fillRect/>
                    </a:stretch>
                  </pic:blipFill>
                  <pic:spPr>
                    <a:xfrm>
                      <a:off x="0" y="0"/>
                      <a:ext cx="5423179" cy="3041806"/>
                    </a:xfrm>
                    <a:prstGeom prst="rect">
                      <a:avLst/>
                    </a:prstGeom>
                  </pic:spPr>
                </pic:pic>
              </a:graphicData>
            </a:graphic>
          </wp:inline>
        </w:drawing>
      </w:r>
    </w:p>
    <w:p w14:paraId="50A653E1" w14:textId="5C4122DA" w:rsidR="00DD2186" w:rsidRDefault="00DD2186" w:rsidP="00DD2186">
      <w:pPr>
        <w:pStyle w:val="Heading3"/>
      </w:pPr>
      <w:r>
        <w:t>Diffusion Model Comparison</w:t>
      </w:r>
    </w:p>
    <w:p w14:paraId="49E2E63A" w14:textId="77777777" w:rsidR="00DD2186" w:rsidRPr="00DD2186" w:rsidRDefault="00DD2186" w:rsidP="00DD2186"/>
    <w:p w14:paraId="1829B043" w14:textId="636BE7DA" w:rsidR="000A078C" w:rsidRDefault="000A078C" w:rsidP="000A078C">
      <w:pPr>
        <w:pStyle w:val="Heading2"/>
        <w:ind w:firstLine="0"/>
      </w:pPr>
      <w:r>
        <w:t>Discussion</w:t>
      </w:r>
    </w:p>
    <w:p w14:paraId="61D9CAAA" w14:textId="49078785" w:rsidR="000122E9" w:rsidRPr="000122E9" w:rsidRDefault="000122E9" w:rsidP="000122E9">
      <w:r>
        <w:tab/>
        <w:t xml:space="preserve">Successive qualitative improvement in fits when intrusion probabilities were determined by temporal and spatiotemporal gradients. However, this was not reflected in quantitative fit statistics, in which marginal improvements in model likelihood with the temporal and spatiotemporal models were outweighed by the additional parameters entailed by those models. </w:t>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07E9C556" w:rsidR="000122E9" w:rsidRDefault="000A078C" w:rsidP="000A078C">
      <w:r>
        <w:tab/>
        <w:t xml:space="preserve">The method for Experiment 2 was identical to Experiment 1 with </w:t>
      </w:r>
      <w:r w:rsidR="000122E9">
        <w:t>the following exceptions detailed below.</w:t>
      </w:r>
    </w:p>
    <w:p w14:paraId="2E443967" w14:textId="5C1CD846" w:rsidR="000122E9" w:rsidRDefault="000122E9" w:rsidP="000122E9">
      <w:pPr>
        <w:pStyle w:val="Heading3"/>
      </w:pPr>
      <w:r>
        <w:lastRenderedPageBreak/>
        <w:t>Participants</w:t>
      </w:r>
    </w:p>
    <w:p w14:paraId="1E85BAC7" w14:textId="59A1E226"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21"/>
      <w:r>
        <w:t>analyses</w:t>
      </w:r>
      <w:commentRangeEnd w:id="21"/>
      <w:r>
        <w:rPr>
          <w:rStyle w:val="CommentReference"/>
        </w:rPr>
        <w:commentReference w:id="21"/>
      </w:r>
      <w:r>
        <w:t>.</w:t>
      </w:r>
    </w:p>
    <w:p w14:paraId="326DBB26" w14:textId="4AF127E5" w:rsidR="000122E9" w:rsidRDefault="000122E9" w:rsidP="000122E9">
      <w:pPr>
        <w:pStyle w:val="Heading3"/>
      </w:pPr>
      <w:r>
        <w:t>Stimuli</w:t>
      </w:r>
    </w:p>
    <w:p w14:paraId="2094676B" w14:textId="055BF7E9" w:rsidR="000122E9" w:rsidRPr="000122E9" w:rsidRDefault="000122E9" w:rsidP="000122E9">
      <w:r>
        <w:tab/>
        <w:t>Words were sampled anew from the entire list each time</w:t>
      </w:r>
    </w:p>
    <w:p w14:paraId="3F85196C" w14:textId="34425FB7" w:rsidR="000122E9" w:rsidRDefault="000122E9" w:rsidP="000122E9">
      <w:pPr>
        <w:pStyle w:val="Heading3"/>
      </w:pPr>
      <w:r>
        <w:t>Procedure</w:t>
      </w:r>
    </w:p>
    <w:p w14:paraId="715EC08D" w14:textId="33C73DD1" w:rsidR="000122E9" w:rsidRPr="000122E9" w:rsidRDefault="000122E9" w:rsidP="000122E9">
      <w:r>
        <w:tab/>
        <w:t>Only simultaneous presentation. 10 sessions instead of three.</w:t>
      </w:r>
    </w:p>
    <w:p w14:paraId="4EC03568" w14:textId="794CE072" w:rsidR="000A078C" w:rsidRDefault="000A078C" w:rsidP="000A078C">
      <w:pPr>
        <w:pStyle w:val="Heading2"/>
        <w:ind w:firstLine="0"/>
      </w:pPr>
      <w:r>
        <w:t>Results</w:t>
      </w:r>
    </w:p>
    <w:p w14:paraId="154B5CD1" w14:textId="1DF93201" w:rsidR="000A078C" w:rsidRDefault="000A078C" w:rsidP="000A078C">
      <w:pPr>
        <w:pStyle w:val="Heading2"/>
        <w:ind w:firstLine="0"/>
      </w:pPr>
      <w:r>
        <w:t>Discussion</w:t>
      </w:r>
    </w:p>
    <w:p w14:paraId="7C00197D" w14:textId="05E13E7C" w:rsidR="000A078C" w:rsidRDefault="000A078C" w:rsidP="000A078C">
      <w:pPr>
        <w:pStyle w:val="Heading1"/>
      </w:pPr>
      <w:r>
        <w:t>General Discussion</w:t>
      </w:r>
    </w:p>
    <w:p w14:paraId="2D26DE1C" w14:textId="518FBB1E" w:rsidR="000122E9" w:rsidRDefault="000122E9" w:rsidP="000122E9">
      <w:pPr>
        <w:pStyle w:val="Heading2"/>
        <w:ind w:firstLine="0"/>
      </w:pPr>
      <w:r>
        <w:t>Mixture Models</w:t>
      </w:r>
    </w:p>
    <w:p w14:paraId="15CA3712" w14:textId="77777777" w:rsidR="000122E9" w:rsidRDefault="000122E9" w:rsidP="00AB438C">
      <w:pPr>
        <w:pStyle w:val="NoSpacing"/>
        <w:spacing w:line="480" w:lineRule="auto"/>
      </w:pPr>
      <w:r>
        <w:tab/>
        <w:t>Ambiguity about the relative contribution of multiple components (</w:t>
      </w:r>
      <w:proofErr w:type="gramStart"/>
      <w:r>
        <w:t>i.e.</w:t>
      </w:r>
      <w:proofErr w:type="gramEnd"/>
      <w:r>
        <w:t xml:space="preserve"> is the decrease in overall intrusion probability over the serial position of the target item associated with an increased probability of the memory component or the guessing component in the model?)</w:t>
      </w:r>
    </w:p>
    <w:p w14:paraId="286BC527" w14:textId="49773080" w:rsidR="000122E9" w:rsidRDefault="000122E9" w:rsidP="00AB438C">
      <w:pPr>
        <w:pStyle w:val="NoSpacing"/>
        <w:spacing w:line="480" w:lineRule="auto"/>
      </w:pPr>
    </w:p>
    <w:p w14:paraId="7C8C7557" w14:textId="58E92E49" w:rsidR="000122E9" w:rsidRDefault="000122E9" w:rsidP="00AB438C">
      <w:pPr>
        <w:pStyle w:val="NoSpacing"/>
        <w:spacing w:line="480" w:lineRule="auto"/>
      </w:pPr>
      <w:r>
        <w:tab/>
        <w:t xml:space="preserve">It does not seem reasonable to expect that the proportion of guesses remains the same across serial positions, but we do not have a formal alternative model of guessing. To take an extreme example, we can consider a potential interaction between recognition and intrusion </w:t>
      </w:r>
      <w:r>
        <w:lastRenderedPageBreak/>
        <w:t xml:space="preserve">probability where items that are not recognized do not intrude. In a list where no items are recognized, </w:t>
      </w:r>
      <w:r w:rsidR="00846B61">
        <w:t>we would intuit that all responses should be guesses.</w:t>
      </w:r>
    </w:p>
    <w:p w14:paraId="04A192CB" w14:textId="77777777" w:rsidR="00846B61" w:rsidRDefault="00846B61" w:rsidP="00AB438C">
      <w:pPr>
        <w:pStyle w:val="NoSpacing"/>
        <w:spacing w:line="480" w:lineRule="auto"/>
      </w:pPr>
    </w:p>
    <w:p w14:paraId="120A5920" w14:textId="772B3A7D" w:rsidR="002256FD" w:rsidRDefault="000122E9" w:rsidP="00AB438C">
      <w:pPr>
        <w:pStyle w:val="NoSpacing"/>
        <w:spacing w:line="480" w:lineRule="auto"/>
      </w:pPr>
      <w:r>
        <w:t xml:space="preserve"> Need for a process model, like racing diffusion models, to address this ambiguity.</w:t>
      </w:r>
    </w:p>
    <w:p w14:paraId="506FB3E9" w14:textId="77777777" w:rsidR="002256FD" w:rsidRDefault="002256FD">
      <w:pPr>
        <w:spacing w:after="160" w:line="259" w:lineRule="auto"/>
      </w:pPr>
      <w:r>
        <w:br w:type="page"/>
      </w:r>
    </w:p>
    <w:tbl>
      <w:tblPr>
        <w:tblStyle w:val="TableGrid"/>
        <w:tblW w:w="9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1687"/>
        <w:gridCol w:w="1688"/>
        <w:gridCol w:w="2025"/>
        <w:gridCol w:w="1350"/>
        <w:gridCol w:w="1688"/>
      </w:tblGrid>
      <w:tr w:rsidR="002256FD" w:rsidRPr="001634FC" w14:paraId="2A26721F" w14:textId="77777777" w:rsidTr="00922E6F">
        <w:trPr>
          <w:trHeight w:val="268"/>
        </w:trPr>
        <w:tc>
          <w:tcPr>
            <w:tcW w:w="9716" w:type="dxa"/>
            <w:gridSpan w:val="6"/>
            <w:tcBorders>
              <w:bottom w:val="single" w:sz="4" w:space="0" w:color="auto"/>
            </w:tcBorders>
            <w:noWrap/>
            <w:vAlign w:val="center"/>
          </w:tcPr>
          <w:p w14:paraId="6855DE10" w14:textId="77777777" w:rsidR="002256FD" w:rsidRDefault="002256FD" w:rsidP="00922E6F">
            <w:pPr>
              <w:pStyle w:val="Caption"/>
              <w:rPr>
                <w:sz w:val="24"/>
                <w:szCs w:val="24"/>
              </w:rPr>
            </w:pPr>
            <w:r w:rsidRPr="00352A2E">
              <w:rPr>
                <w:sz w:val="24"/>
                <w:szCs w:val="24"/>
              </w:rPr>
              <w:lastRenderedPageBreak/>
              <w:t>Table 2</w:t>
            </w:r>
          </w:p>
          <w:p w14:paraId="413505A5" w14:textId="77777777" w:rsidR="002256FD" w:rsidRPr="00352A2E" w:rsidRDefault="002256FD" w:rsidP="00922E6F">
            <w:pPr>
              <w:rPr>
                <w:i/>
                <w:iCs/>
                <w:sz w:val="24"/>
                <w:szCs w:val="24"/>
              </w:rPr>
            </w:pPr>
            <w:r w:rsidRPr="00352A2E">
              <w:rPr>
                <w:i/>
                <w:iCs/>
                <w:sz w:val="24"/>
                <w:szCs w:val="24"/>
              </w:rPr>
              <w:t>Individual</w:t>
            </w:r>
            <w:r>
              <w:rPr>
                <w:i/>
                <w:iCs/>
                <w:sz w:val="24"/>
                <w:szCs w:val="24"/>
              </w:rPr>
              <w:t>-level</w:t>
            </w:r>
            <w:r w:rsidRPr="00352A2E">
              <w:rPr>
                <w:i/>
                <w:iCs/>
                <w:sz w:val="24"/>
                <w:szCs w:val="24"/>
              </w:rPr>
              <w:t xml:space="preserve"> Model</w:t>
            </w:r>
            <w:r>
              <w:rPr>
                <w:i/>
                <w:iCs/>
                <w:sz w:val="24"/>
                <w:szCs w:val="24"/>
              </w:rPr>
              <w:t xml:space="preserve"> Comparison</w:t>
            </w:r>
          </w:p>
        </w:tc>
      </w:tr>
      <w:tr w:rsidR="002256FD" w:rsidRPr="001634FC" w14:paraId="63913799" w14:textId="77777777" w:rsidTr="00922E6F">
        <w:trPr>
          <w:trHeight w:val="268"/>
        </w:trPr>
        <w:tc>
          <w:tcPr>
            <w:tcW w:w="1278" w:type="dxa"/>
            <w:vMerge w:val="restart"/>
            <w:tcBorders>
              <w:top w:val="single" w:sz="4" w:space="0" w:color="auto"/>
            </w:tcBorders>
            <w:noWrap/>
            <w:vAlign w:val="center"/>
          </w:tcPr>
          <w:p w14:paraId="1FF4C74F" w14:textId="77777777" w:rsidR="002256FD" w:rsidRPr="001634FC" w:rsidRDefault="002256FD" w:rsidP="00922E6F">
            <w:pPr>
              <w:spacing w:line="240" w:lineRule="auto"/>
              <w:jc w:val="center"/>
              <w:rPr>
                <w:rFonts w:eastAsia="Times New Roman"/>
              </w:rPr>
            </w:pPr>
            <w:r w:rsidRPr="001634FC">
              <w:rPr>
                <w:rFonts w:eastAsia="Times New Roman"/>
                <w:sz w:val="24"/>
                <w:szCs w:val="24"/>
              </w:rPr>
              <w:t>Participant</w:t>
            </w:r>
          </w:p>
        </w:tc>
        <w:tc>
          <w:tcPr>
            <w:tcW w:w="8438" w:type="dxa"/>
            <w:gridSpan w:val="5"/>
            <w:tcBorders>
              <w:top w:val="single" w:sz="4" w:space="0" w:color="auto"/>
              <w:bottom w:val="single" w:sz="4" w:space="0" w:color="auto"/>
            </w:tcBorders>
            <w:noWrap/>
            <w:vAlign w:val="center"/>
          </w:tcPr>
          <w:p w14:paraId="0C8EF672" w14:textId="77777777" w:rsidR="002256FD" w:rsidRPr="001634FC" w:rsidRDefault="002256FD" w:rsidP="00922E6F">
            <w:pPr>
              <w:spacing w:line="240" w:lineRule="auto"/>
              <w:jc w:val="center"/>
              <w:rPr>
                <w:rFonts w:eastAsia="Times New Roman"/>
                <w:color w:val="000000"/>
              </w:rPr>
            </w:pPr>
            <w:r w:rsidRPr="002A24B8">
              <w:rPr>
                <w:rFonts w:eastAsia="Times New Roman"/>
                <w:color w:val="000000"/>
                <w:sz w:val="24"/>
                <w:szCs w:val="24"/>
              </w:rPr>
              <w:t>Model</w:t>
            </w:r>
          </w:p>
        </w:tc>
      </w:tr>
      <w:tr w:rsidR="002256FD" w:rsidRPr="001634FC" w14:paraId="1E702DEC" w14:textId="77777777" w:rsidTr="00922E6F">
        <w:trPr>
          <w:trHeight w:val="268"/>
        </w:trPr>
        <w:tc>
          <w:tcPr>
            <w:tcW w:w="1278" w:type="dxa"/>
            <w:vMerge/>
            <w:tcBorders>
              <w:bottom w:val="single" w:sz="4" w:space="0" w:color="auto"/>
            </w:tcBorders>
            <w:noWrap/>
            <w:vAlign w:val="center"/>
            <w:hideMark/>
          </w:tcPr>
          <w:p w14:paraId="550ECDA9" w14:textId="77777777" w:rsidR="002256FD" w:rsidRPr="001634FC" w:rsidRDefault="002256FD" w:rsidP="00922E6F">
            <w:pPr>
              <w:spacing w:line="240" w:lineRule="auto"/>
              <w:jc w:val="center"/>
              <w:rPr>
                <w:rFonts w:eastAsia="Times New Roman"/>
                <w:sz w:val="24"/>
                <w:szCs w:val="24"/>
              </w:rPr>
            </w:pPr>
          </w:p>
        </w:tc>
        <w:tc>
          <w:tcPr>
            <w:tcW w:w="1687" w:type="dxa"/>
            <w:tcBorders>
              <w:top w:val="single" w:sz="4" w:space="0" w:color="auto"/>
              <w:bottom w:val="single" w:sz="4" w:space="0" w:color="auto"/>
            </w:tcBorders>
            <w:noWrap/>
            <w:vAlign w:val="center"/>
            <w:hideMark/>
          </w:tcPr>
          <w:p w14:paraId="33F4A782"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1</w:t>
            </w:r>
          </w:p>
          <w:p w14:paraId="4BCAFB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Guess</w:t>
            </w:r>
          </w:p>
        </w:tc>
        <w:tc>
          <w:tcPr>
            <w:tcW w:w="1688" w:type="dxa"/>
            <w:tcBorders>
              <w:top w:val="single" w:sz="4" w:space="0" w:color="auto"/>
              <w:bottom w:val="single" w:sz="4" w:space="0" w:color="auto"/>
            </w:tcBorders>
            <w:noWrap/>
            <w:vAlign w:val="center"/>
            <w:hideMark/>
          </w:tcPr>
          <w:p w14:paraId="45166620"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2</w:t>
            </w:r>
          </w:p>
          <w:p w14:paraId="0758AE3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Intrusion</w:t>
            </w:r>
          </w:p>
        </w:tc>
        <w:tc>
          <w:tcPr>
            <w:tcW w:w="2025" w:type="dxa"/>
            <w:tcBorders>
              <w:top w:val="single" w:sz="4" w:space="0" w:color="auto"/>
              <w:bottom w:val="single" w:sz="4" w:space="0" w:color="auto"/>
            </w:tcBorders>
            <w:noWrap/>
            <w:vAlign w:val="center"/>
            <w:hideMark/>
          </w:tcPr>
          <w:p w14:paraId="702076F4"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3</w:t>
            </w:r>
          </w:p>
          <w:p w14:paraId="28805B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Intrusion + Gues</w:t>
            </w:r>
            <w:r>
              <w:rPr>
                <w:rFonts w:eastAsia="Times New Roman"/>
                <w:color w:val="000000"/>
                <w:sz w:val="24"/>
                <w:szCs w:val="24"/>
              </w:rPr>
              <w:t>s</w:t>
            </w:r>
          </w:p>
        </w:tc>
        <w:tc>
          <w:tcPr>
            <w:tcW w:w="1350" w:type="dxa"/>
            <w:tcBorders>
              <w:top w:val="single" w:sz="4" w:space="0" w:color="auto"/>
              <w:bottom w:val="single" w:sz="4" w:space="0" w:color="auto"/>
            </w:tcBorders>
            <w:noWrap/>
            <w:vAlign w:val="center"/>
            <w:hideMark/>
          </w:tcPr>
          <w:p w14:paraId="5F54C6CE"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4</w:t>
            </w:r>
          </w:p>
          <w:p w14:paraId="525BAFE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Temporal</w:t>
            </w:r>
          </w:p>
        </w:tc>
        <w:tc>
          <w:tcPr>
            <w:tcW w:w="1688" w:type="dxa"/>
            <w:tcBorders>
              <w:top w:val="single" w:sz="4" w:space="0" w:color="auto"/>
              <w:bottom w:val="single" w:sz="4" w:space="0" w:color="auto"/>
            </w:tcBorders>
            <w:noWrap/>
            <w:vAlign w:val="center"/>
            <w:hideMark/>
          </w:tcPr>
          <w:p w14:paraId="22779C9D"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5</w:t>
            </w:r>
          </w:p>
          <w:p w14:paraId="61C004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Spatiotemporal</w:t>
            </w:r>
          </w:p>
        </w:tc>
      </w:tr>
      <w:tr w:rsidR="002256FD" w:rsidRPr="001634FC" w14:paraId="1ADA624B" w14:textId="77777777" w:rsidTr="00922E6F">
        <w:trPr>
          <w:trHeight w:val="268"/>
        </w:trPr>
        <w:tc>
          <w:tcPr>
            <w:tcW w:w="1278" w:type="dxa"/>
            <w:tcBorders>
              <w:top w:val="single" w:sz="4" w:space="0" w:color="auto"/>
            </w:tcBorders>
            <w:noWrap/>
            <w:hideMark/>
          </w:tcPr>
          <w:p w14:paraId="509E77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w:t>
            </w:r>
          </w:p>
        </w:tc>
        <w:tc>
          <w:tcPr>
            <w:tcW w:w="1687" w:type="dxa"/>
            <w:tcBorders>
              <w:top w:val="single" w:sz="4" w:space="0" w:color="auto"/>
            </w:tcBorders>
            <w:noWrap/>
            <w:hideMark/>
          </w:tcPr>
          <w:p w14:paraId="6A5474A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tcBorders>
              <w:top w:val="single" w:sz="4" w:space="0" w:color="auto"/>
            </w:tcBorders>
            <w:noWrap/>
            <w:hideMark/>
          </w:tcPr>
          <w:p w14:paraId="450C32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top w:val="single" w:sz="4" w:space="0" w:color="auto"/>
            </w:tcBorders>
            <w:noWrap/>
            <w:hideMark/>
          </w:tcPr>
          <w:p w14:paraId="7FEC522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tcBorders>
              <w:top w:val="single" w:sz="4" w:space="0" w:color="auto"/>
            </w:tcBorders>
            <w:noWrap/>
            <w:hideMark/>
          </w:tcPr>
          <w:p w14:paraId="2817F8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tcBorders>
              <w:top w:val="single" w:sz="4" w:space="0" w:color="auto"/>
            </w:tcBorders>
            <w:noWrap/>
            <w:hideMark/>
          </w:tcPr>
          <w:p w14:paraId="3A9FADC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BC5CE28" w14:textId="77777777" w:rsidTr="00922E6F">
        <w:trPr>
          <w:trHeight w:val="268"/>
        </w:trPr>
        <w:tc>
          <w:tcPr>
            <w:tcW w:w="1278" w:type="dxa"/>
            <w:noWrap/>
            <w:hideMark/>
          </w:tcPr>
          <w:p w14:paraId="46F997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w:t>
            </w:r>
          </w:p>
        </w:tc>
        <w:tc>
          <w:tcPr>
            <w:tcW w:w="1687" w:type="dxa"/>
            <w:noWrap/>
            <w:hideMark/>
          </w:tcPr>
          <w:p w14:paraId="7028D76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c>
          <w:tcPr>
            <w:tcW w:w="1688" w:type="dxa"/>
            <w:noWrap/>
            <w:hideMark/>
          </w:tcPr>
          <w:p w14:paraId="69DCB6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2025" w:type="dxa"/>
            <w:noWrap/>
            <w:hideMark/>
          </w:tcPr>
          <w:p w14:paraId="53647AF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50CD85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77950AA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61C1E2A" w14:textId="77777777" w:rsidTr="00922E6F">
        <w:trPr>
          <w:trHeight w:val="268"/>
        </w:trPr>
        <w:tc>
          <w:tcPr>
            <w:tcW w:w="1278" w:type="dxa"/>
            <w:noWrap/>
            <w:hideMark/>
          </w:tcPr>
          <w:p w14:paraId="5E829E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w:t>
            </w:r>
          </w:p>
        </w:tc>
        <w:tc>
          <w:tcPr>
            <w:tcW w:w="1687" w:type="dxa"/>
            <w:noWrap/>
            <w:hideMark/>
          </w:tcPr>
          <w:p w14:paraId="53FB601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0.54</w:t>
            </w:r>
          </w:p>
        </w:tc>
        <w:tc>
          <w:tcPr>
            <w:tcW w:w="1688" w:type="dxa"/>
            <w:noWrap/>
            <w:hideMark/>
          </w:tcPr>
          <w:p w14:paraId="6DA340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DE2FA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0.33</w:t>
            </w:r>
          </w:p>
        </w:tc>
        <w:tc>
          <w:tcPr>
            <w:tcW w:w="1350" w:type="dxa"/>
            <w:noWrap/>
            <w:hideMark/>
          </w:tcPr>
          <w:p w14:paraId="28D72B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61AEB3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1698B622" w14:textId="77777777" w:rsidTr="00922E6F">
        <w:trPr>
          <w:trHeight w:val="268"/>
        </w:trPr>
        <w:tc>
          <w:tcPr>
            <w:tcW w:w="1278" w:type="dxa"/>
            <w:noWrap/>
            <w:hideMark/>
          </w:tcPr>
          <w:p w14:paraId="7FBDE4C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4</w:t>
            </w:r>
          </w:p>
        </w:tc>
        <w:tc>
          <w:tcPr>
            <w:tcW w:w="1687" w:type="dxa"/>
            <w:noWrap/>
            <w:hideMark/>
          </w:tcPr>
          <w:p w14:paraId="32FFB1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16565A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9D8C3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5BCAF17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139D5A2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700D0A87" w14:textId="77777777" w:rsidTr="00922E6F">
        <w:trPr>
          <w:trHeight w:val="268"/>
        </w:trPr>
        <w:tc>
          <w:tcPr>
            <w:tcW w:w="1278" w:type="dxa"/>
            <w:noWrap/>
            <w:hideMark/>
          </w:tcPr>
          <w:p w14:paraId="7B8FE4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5</w:t>
            </w:r>
          </w:p>
        </w:tc>
        <w:tc>
          <w:tcPr>
            <w:tcW w:w="1687" w:type="dxa"/>
            <w:noWrap/>
            <w:hideMark/>
          </w:tcPr>
          <w:p w14:paraId="5A43E4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9A61DF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4D7AE9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0.96</w:t>
            </w:r>
          </w:p>
        </w:tc>
        <w:tc>
          <w:tcPr>
            <w:tcW w:w="1350" w:type="dxa"/>
            <w:noWrap/>
            <w:hideMark/>
          </w:tcPr>
          <w:p w14:paraId="1152DE3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332366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6ACA8D58" w14:textId="77777777" w:rsidTr="00922E6F">
        <w:trPr>
          <w:trHeight w:val="268"/>
        </w:trPr>
        <w:tc>
          <w:tcPr>
            <w:tcW w:w="1278" w:type="dxa"/>
            <w:noWrap/>
            <w:hideMark/>
          </w:tcPr>
          <w:p w14:paraId="3F59D8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6</w:t>
            </w:r>
          </w:p>
        </w:tc>
        <w:tc>
          <w:tcPr>
            <w:tcW w:w="1687" w:type="dxa"/>
            <w:noWrap/>
            <w:hideMark/>
          </w:tcPr>
          <w:p w14:paraId="74E2D3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CCAA88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5B103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350" w:type="dxa"/>
            <w:noWrap/>
            <w:hideMark/>
          </w:tcPr>
          <w:p w14:paraId="32F1CC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0.38</w:t>
            </w:r>
          </w:p>
        </w:tc>
        <w:tc>
          <w:tcPr>
            <w:tcW w:w="1688" w:type="dxa"/>
            <w:noWrap/>
            <w:hideMark/>
          </w:tcPr>
          <w:p w14:paraId="014FBB2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r>
      <w:tr w:rsidR="002256FD" w:rsidRPr="001634FC" w14:paraId="6C994256" w14:textId="77777777" w:rsidTr="00922E6F">
        <w:trPr>
          <w:trHeight w:val="268"/>
        </w:trPr>
        <w:tc>
          <w:tcPr>
            <w:tcW w:w="1278" w:type="dxa"/>
            <w:noWrap/>
            <w:hideMark/>
          </w:tcPr>
          <w:p w14:paraId="779D573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7</w:t>
            </w:r>
          </w:p>
        </w:tc>
        <w:tc>
          <w:tcPr>
            <w:tcW w:w="1687" w:type="dxa"/>
            <w:noWrap/>
            <w:hideMark/>
          </w:tcPr>
          <w:p w14:paraId="6A26B94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A9FE2B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2C875B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0.86</w:t>
            </w:r>
          </w:p>
        </w:tc>
        <w:tc>
          <w:tcPr>
            <w:tcW w:w="1350" w:type="dxa"/>
            <w:noWrap/>
            <w:hideMark/>
          </w:tcPr>
          <w:p w14:paraId="2F58F06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020A9F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6FEEB92" w14:textId="77777777" w:rsidTr="00922E6F">
        <w:trPr>
          <w:trHeight w:val="268"/>
        </w:trPr>
        <w:tc>
          <w:tcPr>
            <w:tcW w:w="1278" w:type="dxa"/>
            <w:noWrap/>
            <w:hideMark/>
          </w:tcPr>
          <w:p w14:paraId="4E92DF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8</w:t>
            </w:r>
          </w:p>
        </w:tc>
        <w:tc>
          <w:tcPr>
            <w:tcW w:w="1687" w:type="dxa"/>
            <w:noWrap/>
            <w:hideMark/>
          </w:tcPr>
          <w:p w14:paraId="738E23E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2F0544D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82DDA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0.24</w:t>
            </w:r>
          </w:p>
        </w:tc>
        <w:tc>
          <w:tcPr>
            <w:tcW w:w="1350" w:type="dxa"/>
            <w:noWrap/>
            <w:hideMark/>
          </w:tcPr>
          <w:p w14:paraId="121F3D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537B29C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0.66</w:t>
            </w:r>
          </w:p>
        </w:tc>
      </w:tr>
      <w:tr w:rsidR="002256FD" w:rsidRPr="001634FC" w14:paraId="5583E161" w14:textId="77777777" w:rsidTr="00922E6F">
        <w:trPr>
          <w:trHeight w:val="268"/>
        </w:trPr>
        <w:tc>
          <w:tcPr>
            <w:tcW w:w="1278" w:type="dxa"/>
            <w:noWrap/>
            <w:hideMark/>
          </w:tcPr>
          <w:p w14:paraId="6CA01AE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9</w:t>
            </w:r>
          </w:p>
        </w:tc>
        <w:tc>
          <w:tcPr>
            <w:tcW w:w="1687" w:type="dxa"/>
            <w:noWrap/>
            <w:hideMark/>
          </w:tcPr>
          <w:p w14:paraId="5535DC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0E5C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824E7D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5ADEBD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0.29</w:t>
            </w:r>
          </w:p>
        </w:tc>
        <w:tc>
          <w:tcPr>
            <w:tcW w:w="1688" w:type="dxa"/>
            <w:noWrap/>
            <w:hideMark/>
          </w:tcPr>
          <w:p w14:paraId="2E1ACE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r>
      <w:tr w:rsidR="002256FD" w:rsidRPr="001634FC" w14:paraId="68B7CCA4" w14:textId="77777777" w:rsidTr="00922E6F">
        <w:trPr>
          <w:trHeight w:val="268"/>
        </w:trPr>
        <w:tc>
          <w:tcPr>
            <w:tcW w:w="1278" w:type="dxa"/>
            <w:noWrap/>
            <w:hideMark/>
          </w:tcPr>
          <w:p w14:paraId="3F6A30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10</w:t>
            </w:r>
          </w:p>
        </w:tc>
        <w:tc>
          <w:tcPr>
            <w:tcW w:w="1687" w:type="dxa"/>
            <w:noWrap/>
            <w:hideMark/>
          </w:tcPr>
          <w:p w14:paraId="67DE74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C18BE3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C45593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0.94</w:t>
            </w:r>
          </w:p>
        </w:tc>
        <w:tc>
          <w:tcPr>
            <w:tcW w:w="1350" w:type="dxa"/>
            <w:noWrap/>
            <w:hideMark/>
          </w:tcPr>
          <w:p w14:paraId="4B7C265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74D69F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35553A98" w14:textId="77777777" w:rsidTr="00922E6F">
        <w:trPr>
          <w:trHeight w:val="268"/>
        </w:trPr>
        <w:tc>
          <w:tcPr>
            <w:tcW w:w="1278" w:type="dxa"/>
            <w:noWrap/>
            <w:hideMark/>
          </w:tcPr>
          <w:p w14:paraId="6E329CE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11</w:t>
            </w:r>
          </w:p>
        </w:tc>
        <w:tc>
          <w:tcPr>
            <w:tcW w:w="1687" w:type="dxa"/>
            <w:noWrap/>
            <w:hideMark/>
          </w:tcPr>
          <w:p w14:paraId="26B9FDE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84EFC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3DB7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350" w:type="dxa"/>
            <w:noWrap/>
            <w:hideMark/>
          </w:tcPr>
          <w:p w14:paraId="6FA81BC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688" w:type="dxa"/>
            <w:noWrap/>
            <w:hideMark/>
          </w:tcPr>
          <w:p w14:paraId="1F3E55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r>
      <w:tr w:rsidR="002256FD" w:rsidRPr="001634FC" w14:paraId="7911C94E" w14:textId="77777777" w:rsidTr="00922E6F">
        <w:trPr>
          <w:trHeight w:val="268"/>
        </w:trPr>
        <w:tc>
          <w:tcPr>
            <w:tcW w:w="1278" w:type="dxa"/>
            <w:noWrap/>
            <w:hideMark/>
          </w:tcPr>
          <w:p w14:paraId="21B59E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12</w:t>
            </w:r>
          </w:p>
        </w:tc>
        <w:tc>
          <w:tcPr>
            <w:tcW w:w="1687" w:type="dxa"/>
            <w:noWrap/>
            <w:hideMark/>
          </w:tcPr>
          <w:p w14:paraId="4F7B5C7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0.44</w:t>
            </w:r>
          </w:p>
        </w:tc>
        <w:tc>
          <w:tcPr>
            <w:tcW w:w="1688" w:type="dxa"/>
            <w:noWrap/>
            <w:hideMark/>
          </w:tcPr>
          <w:p w14:paraId="4A96FB6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D3669E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4B8A20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688" w:type="dxa"/>
            <w:noWrap/>
            <w:hideMark/>
          </w:tcPr>
          <w:p w14:paraId="0D044D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4FB8828B" w14:textId="77777777" w:rsidTr="00922E6F">
        <w:trPr>
          <w:trHeight w:val="268"/>
        </w:trPr>
        <w:tc>
          <w:tcPr>
            <w:tcW w:w="1278" w:type="dxa"/>
            <w:noWrap/>
            <w:hideMark/>
          </w:tcPr>
          <w:p w14:paraId="3A64AF3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13</w:t>
            </w:r>
          </w:p>
        </w:tc>
        <w:tc>
          <w:tcPr>
            <w:tcW w:w="1687" w:type="dxa"/>
            <w:noWrap/>
            <w:hideMark/>
          </w:tcPr>
          <w:p w14:paraId="43A3CBB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688" w:type="dxa"/>
            <w:noWrap/>
            <w:hideMark/>
          </w:tcPr>
          <w:p w14:paraId="7DCC194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F2B02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0.25</w:t>
            </w:r>
          </w:p>
        </w:tc>
        <w:tc>
          <w:tcPr>
            <w:tcW w:w="1350" w:type="dxa"/>
            <w:noWrap/>
            <w:hideMark/>
          </w:tcPr>
          <w:p w14:paraId="0E5CAFA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14CB20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2004D58C" w14:textId="77777777" w:rsidTr="00922E6F">
        <w:trPr>
          <w:trHeight w:val="268"/>
        </w:trPr>
        <w:tc>
          <w:tcPr>
            <w:tcW w:w="1278" w:type="dxa"/>
            <w:noWrap/>
            <w:hideMark/>
          </w:tcPr>
          <w:p w14:paraId="7474FA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14</w:t>
            </w:r>
          </w:p>
        </w:tc>
        <w:tc>
          <w:tcPr>
            <w:tcW w:w="1687" w:type="dxa"/>
            <w:noWrap/>
            <w:hideMark/>
          </w:tcPr>
          <w:p w14:paraId="46BC7D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826F9E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1A4DF66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0.99</w:t>
            </w:r>
          </w:p>
        </w:tc>
        <w:tc>
          <w:tcPr>
            <w:tcW w:w="1350" w:type="dxa"/>
            <w:noWrap/>
            <w:hideMark/>
          </w:tcPr>
          <w:p w14:paraId="3BF36F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50807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7063D92" w14:textId="77777777" w:rsidTr="00922E6F">
        <w:trPr>
          <w:trHeight w:val="268"/>
        </w:trPr>
        <w:tc>
          <w:tcPr>
            <w:tcW w:w="1278" w:type="dxa"/>
            <w:noWrap/>
            <w:hideMark/>
          </w:tcPr>
          <w:p w14:paraId="74812D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15</w:t>
            </w:r>
          </w:p>
        </w:tc>
        <w:tc>
          <w:tcPr>
            <w:tcW w:w="1687" w:type="dxa"/>
            <w:noWrap/>
            <w:hideMark/>
          </w:tcPr>
          <w:p w14:paraId="1AC2538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2C0B9B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44D7A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350" w:type="dxa"/>
            <w:noWrap/>
            <w:hideMark/>
          </w:tcPr>
          <w:p w14:paraId="3B58903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4FA278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1ADC2C95" w14:textId="77777777" w:rsidTr="00922E6F">
        <w:trPr>
          <w:trHeight w:val="268"/>
        </w:trPr>
        <w:tc>
          <w:tcPr>
            <w:tcW w:w="1278" w:type="dxa"/>
            <w:noWrap/>
            <w:hideMark/>
          </w:tcPr>
          <w:p w14:paraId="3574CE3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16</w:t>
            </w:r>
          </w:p>
        </w:tc>
        <w:tc>
          <w:tcPr>
            <w:tcW w:w="1687" w:type="dxa"/>
            <w:noWrap/>
            <w:hideMark/>
          </w:tcPr>
          <w:p w14:paraId="5D1845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073A0B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8C9EC6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0.10</w:t>
            </w:r>
          </w:p>
        </w:tc>
        <w:tc>
          <w:tcPr>
            <w:tcW w:w="1350" w:type="dxa"/>
            <w:noWrap/>
            <w:hideMark/>
          </w:tcPr>
          <w:p w14:paraId="557EBEC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0.73</w:t>
            </w:r>
          </w:p>
        </w:tc>
        <w:tc>
          <w:tcPr>
            <w:tcW w:w="1688" w:type="dxa"/>
            <w:noWrap/>
            <w:hideMark/>
          </w:tcPr>
          <w:p w14:paraId="7A68A05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6863B6A6" w14:textId="77777777" w:rsidTr="00922E6F">
        <w:trPr>
          <w:trHeight w:val="268"/>
        </w:trPr>
        <w:tc>
          <w:tcPr>
            <w:tcW w:w="1278" w:type="dxa"/>
            <w:noWrap/>
            <w:hideMark/>
          </w:tcPr>
          <w:p w14:paraId="0BA7171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17</w:t>
            </w:r>
          </w:p>
        </w:tc>
        <w:tc>
          <w:tcPr>
            <w:tcW w:w="1687" w:type="dxa"/>
            <w:noWrap/>
            <w:hideMark/>
          </w:tcPr>
          <w:p w14:paraId="242D81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00C85C2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183DA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0.74</w:t>
            </w:r>
          </w:p>
        </w:tc>
        <w:tc>
          <w:tcPr>
            <w:tcW w:w="1350" w:type="dxa"/>
            <w:noWrap/>
            <w:hideMark/>
          </w:tcPr>
          <w:p w14:paraId="5A5C592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c>
          <w:tcPr>
            <w:tcW w:w="1688" w:type="dxa"/>
            <w:noWrap/>
            <w:hideMark/>
          </w:tcPr>
          <w:p w14:paraId="23D61E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36D8CED2" w14:textId="77777777" w:rsidTr="00922E6F">
        <w:trPr>
          <w:trHeight w:val="268"/>
        </w:trPr>
        <w:tc>
          <w:tcPr>
            <w:tcW w:w="1278" w:type="dxa"/>
            <w:noWrap/>
            <w:hideMark/>
          </w:tcPr>
          <w:p w14:paraId="5462FC6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18</w:t>
            </w:r>
          </w:p>
        </w:tc>
        <w:tc>
          <w:tcPr>
            <w:tcW w:w="1687" w:type="dxa"/>
            <w:noWrap/>
            <w:hideMark/>
          </w:tcPr>
          <w:p w14:paraId="747A168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0.81</w:t>
            </w:r>
          </w:p>
        </w:tc>
        <w:tc>
          <w:tcPr>
            <w:tcW w:w="1688" w:type="dxa"/>
            <w:noWrap/>
            <w:hideMark/>
          </w:tcPr>
          <w:p w14:paraId="0ABE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3BEFE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c>
          <w:tcPr>
            <w:tcW w:w="1350" w:type="dxa"/>
            <w:noWrap/>
            <w:hideMark/>
          </w:tcPr>
          <w:p w14:paraId="6137B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315C23D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B37D928" w14:textId="77777777" w:rsidTr="00922E6F">
        <w:trPr>
          <w:trHeight w:val="268"/>
        </w:trPr>
        <w:tc>
          <w:tcPr>
            <w:tcW w:w="1278" w:type="dxa"/>
            <w:noWrap/>
            <w:hideMark/>
          </w:tcPr>
          <w:p w14:paraId="368319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19</w:t>
            </w:r>
          </w:p>
        </w:tc>
        <w:tc>
          <w:tcPr>
            <w:tcW w:w="1687" w:type="dxa"/>
            <w:noWrap/>
            <w:hideMark/>
          </w:tcPr>
          <w:p w14:paraId="5E79A4B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BB22CF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D7504E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0D4A233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688" w:type="dxa"/>
            <w:noWrap/>
            <w:hideMark/>
          </w:tcPr>
          <w:p w14:paraId="7035638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6D356883" w14:textId="77777777" w:rsidTr="00922E6F">
        <w:trPr>
          <w:trHeight w:val="268"/>
        </w:trPr>
        <w:tc>
          <w:tcPr>
            <w:tcW w:w="1278" w:type="dxa"/>
            <w:noWrap/>
            <w:hideMark/>
          </w:tcPr>
          <w:p w14:paraId="3892A67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20</w:t>
            </w:r>
          </w:p>
        </w:tc>
        <w:tc>
          <w:tcPr>
            <w:tcW w:w="1687" w:type="dxa"/>
            <w:noWrap/>
            <w:hideMark/>
          </w:tcPr>
          <w:p w14:paraId="6D0973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90C1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25D03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350" w:type="dxa"/>
            <w:noWrap/>
            <w:hideMark/>
          </w:tcPr>
          <w:p w14:paraId="356A8C2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5390987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r>
      <w:tr w:rsidR="002256FD" w:rsidRPr="001634FC" w14:paraId="6AA50FAA" w14:textId="77777777" w:rsidTr="00922E6F">
        <w:trPr>
          <w:trHeight w:val="268"/>
        </w:trPr>
        <w:tc>
          <w:tcPr>
            <w:tcW w:w="1278" w:type="dxa"/>
            <w:noWrap/>
            <w:hideMark/>
          </w:tcPr>
          <w:p w14:paraId="34F769A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21</w:t>
            </w:r>
          </w:p>
        </w:tc>
        <w:tc>
          <w:tcPr>
            <w:tcW w:w="1687" w:type="dxa"/>
            <w:noWrap/>
            <w:hideMark/>
          </w:tcPr>
          <w:p w14:paraId="129CA2C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1C885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7A7AE0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0.70</w:t>
            </w:r>
          </w:p>
        </w:tc>
        <w:tc>
          <w:tcPr>
            <w:tcW w:w="1350" w:type="dxa"/>
            <w:noWrap/>
            <w:hideMark/>
          </w:tcPr>
          <w:p w14:paraId="06CCFB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0E84B8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263A9BC5" w14:textId="77777777" w:rsidTr="00922E6F">
        <w:trPr>
          <w:trHeight w:val="268"/>
        </w:trPr>
        <w:tc>
          <w:tcPr>
            <w:tcW w:w="1278" w:type="dxa"/>
            <w:noWrap/>
            <w:hideMark/>
          </w:tcPr>
          <w:p w14:paraId="5956E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22</w:t>
            </w:r>
          </w:p>
        </w:tc>
        <w:tc>
          <w:tcPr>
            <w:tcW w:w="1687" w:type="dxa"/>
            <w:noWrap/>
            <w:hideMark/>
          </w:tcPr>
          <w:p w14:paraId="75D081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B139D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A9BC3F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350" w:type="dxa"/>
            <w:noWrap/>
            <w:hideMark/>
          </w:tcPr>
          <w:p w14:paraId="64BA63D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688" w:type="dxa"/>
            <w:noWrap/>
            <w:hideMark/>
          </w:tcPr>
          <w:p w14:paraId="5D94883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73056BF2" w14:textId="77777777" w:rsidTr="00922E6F">
        <w:trPr>
          <w:trHeight w:val="268"/>
        </w:trPr>
        <w:tc>
          <w:tcPr>
            <w:tcW w:w="1278" w:type="dxa"/>
            <w:noWrap/>
            <w:hideMark/>
          </w:tcPr>
          <w:p w14:paraId="31769CB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23</w:t>
            </w:r>
          </w:p>
        </w:tc>
        <w:tc>
          <w:tcPr>
            <w:tcW w:w="1687" w:type="dxa"/>
            <w:noWrap/>
            <w:hideMark/>
          </w:tcPr>
          <w:p w14:paraId="2E673B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974A65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B1DF3C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0.71</w:t>
            </w:r>
          </w:p>
        </w:tc>
        <w:tc>
          <w:tcPr>
            <w:tcW w:w="1350" w:type="dxa"/>
            <w:noWrap/>
            <w:hideMark/>
          </w:tcPr>
          <w:p w14:paraId="671DFE8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4BA1D5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7F2A44F1" w14:textId="77777777" w:rsidTr="00922E6F">
        <w:trPr>
          <w:trHeight w:val="268"/>
        </w:trPr>
        <w:tc>
          <w:tcPr>
            <w:tcW w:w="1278" w:type="dxa"/>
            <w:noWrap/>
            <w:hideMark/>
          </w:tcPr>
          <w:p w14:paraId="320B2A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24</w:t>
            </w:r>
          </w:p>
        </w:tc>
        <w:tc>
          <w:tcPr>
            <w:tcW w:w="1687" w:type="dxa"/>
            <w:noWrap/>
            <w:hideMark/>
          </w:tcPr>
          <w:p w14:paraId="715A5B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276BD4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0477E3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0.60</w:t>
            </w:r>
          </w:p>
        </w:tc>
        <w:tc>
          <w:tcPr>
            <w:tcW w:w="1350" w:type="dxa"/>
            <w:noWrap/>
            <w:hideMark/>
          </w:tcPr>
          <w:p w14:paraId="21C1094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0.37</w:t>
            </w:r>
          </w:p>
        </w:tc>
        <w:tc>
          <w:tcPr>
            <w:tcW w:w="1688" w:type="dxa"/>
            <w:noWrap/>
            <w:hideMark/>
          </w:tcPr>
          <w:p w14:paraId="058CA1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52979662" w14:textId="77777777" w:rsidTr="00922E6F">
        <w:trPr>
          <w:trHeight w:val="268"/>
        </w:trPr>
        <w:tc>
          <w:tcPr>
            <w:tcW w:w="1278" w:type="dxa"/>
            <w:noWrap/>
            <w:hideMark/>
          </w:tcPr>
          <w:p w14:paraId="13A3D17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25</w:t>
            </w:r>
          </w:p>
        </w:tc>
        <w:tc>
          <w:tcPr>
            <w:tcW w:w="1687" w:type="dxa"/>
            <w:noWrap/>
            <w:hideMark/>
          </w:tcPr>
          <w:p w14:paraId="0EA72B6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0.13</w:t>
            </w:r>
          </w:p>
        </w:tc>
        <w:tc>
          <w:tcPr>
            <w:tcW w:w="1688" w:type="dxa"/>
            <w:noWrap/>
            <w:hideMark/>
          </w:tcPr>
          <w:p w14:paraId="3E37F2B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36745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0.21</w:t>
            </w:r>
          </w:p>
        </w:tc>
        <w:tc>
          <w:tcPr>
            <w:tcW w:w="1350" w:type="dxa"/>
            <w:noWrap/>
            <w:hideMark/>
          </w:tcPr>
          <w:p w14:paraId="2BE026F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0.58</w:t>
            </w:r>
          </w:p>
        </w:tc>
        <w:tc>
          <w:tcPr>
            <w:tcW w:w="1688" w:type="dxa"/>
            <w:noWrap/>
            <w:hideMark/>
          </w:tcPr>
          <w:p w14:paraId="5144AC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3216DE13" w14:textId="77777777" w:rsidTr="00922E6F">
        <w:trPr>
          <w:trHeight w:val="268"/>
        </w:trPr>
        <w:tc>
          <w:tcPr>
            <w:tcW w:w="1278" w:type="dxa"/>
            <w:noWrap/>
            <w:hideMark/>
          </w:tcPr>
          <w:p w14:paraId="1C70FDB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26</w:t>
            </w:r>
          </w:p>
        </w:tc>
        <w:tc>
          <w:tcPr>
            <w:tcW w:w="1687" w:type="dxa"/>
            <w:noWrap/>
            <w:hideMark/>
          </w:tcPr>
          <w:p w14:paraId="35C19C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5F9F0BC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394EE7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338C7AF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2F56DA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0AFE53B" w14:textId="77777777" w:rsidTr="00922E6F">
        <w:trPr>
          <w:trHeight w:val="268"/>
        </w:trPr>
        <w:tc>
          <w:tcPr>
            <w:tcW w:w="1278" w:type="dxa"/>
            <w:noWrap/>
            <w:hideMark/>
          </w:tcPr>
          <w:p w14:paraId="3252429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27</w:t>
            </w:r>
          </w:p>
        </w:tc>
        <w:tc>
          <w:tcPr>
            <w:tcW w:w="1687" w:type="dxa"/>
            <w:noWrap/>
            <w:hideMark/>
          </w:tcPr>
          <w:p w14:paraId="18D068F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0.72</w:t>
            </w:r>
          </w:p>
        </w:tc>
        <w:tc>
          <w:tcPr>
            <w:tcW w:w="1688" w:type="dxa"/>
            <w:noWrap/>
            <w:hideMark/>
          </w:tcPr>
          <w:p w14:paraId="0E5810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37AAB4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740A2E9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5AA48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4ED47B9" w14:textId="77777777" w:rsidTr="00922E6F">
        <w:trPr>
          <w:trHeight w:val="268"/>
        </w:trPr>
        <w:tc>
          <w:tcPr>
            <w:tcW w:w="1278" w:type="dxa"/>
            <w:noWrap/>
            <w:hideMark/>
          </w:tcPr>
          <w:p w14:paraId="66F9E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28</w:t>
            </w:r>
          </w:p>
        </w:tc>
        <w:tc>
          <w:tcPr>
            <w:tcW w:w="1687" w:type="dxa"/>
            <w:noWrap/>
            <w:hideMark/>
          </w:tcPr>
          <w:p w14:paraId="1BE6038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222AD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758CFA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0.93</w:t>
            </w:r>
          </w:p>
        </w:tc>
        <w:tc>
          <w:tcPr>
            <w:tcW w:w="1350" w:type="dxa"/>
            <w:noWrap/>
            <w:hideMark/>
          </w:tcPr>
          <w:p w14:paraId="552460B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6F9F14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650F014D" w14:textId="77777777" w:rsidTr="00922E6F">
        <w:trPr>
          <w:trHeight w:val="268"/>
        </w:trPr>
        <w:tc>
          <w:tcPr>
            <w:tcW w:w="1278" w:type="dxa"/>
            <w:noWrap/>
            <w:hideMark/>
          </w:tcPr>
          <w:p w14:paraId="5DE562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29</w:t>
            </w:r>
          </w:p>
        </w:tc>
        <w:tc>
          <w:tcPr>
            <w:tcW w:w="1687" w:type="dxa"/>
            <w:noWrap/>
            <w:hideMark/>
          </w:tcPr>
          <w:p w14:paraId="440DBBC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688" w:type="dxa"/>
            <w:noWrap/>
            <w:hideMark/>
          </w:tcPr>
          <w:p w14:paraId="5DE8B94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4197ED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350" w:type="dxa"/>
            <w:noWrap/>
            <w:hideMark/>
          </w:tcPr>
          <w:p w14:paraId="2122C21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4D7D902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E5D2CE8" w14:textId="77777777" w:rsidTr="00922E6F">
        <w:trPr>
          <w:trHeight w:val="268"/>
        </w:trPr>
        <w:tc>
          <w:tcPr>
            <w:tcW w:w="1278" w:type="dxa"/>
            <w:noWrap/>
            <w:hideMark/>
          </w:tcPr>
          <w:p w14:paraId="0BB1D37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30</w:t>
            </w:r>
          </w:p>
        </w:tc>
        <w:tc>
          <w:tcPr>
            <w:tcW w:w="1687" w:type="dxa"/>
            <w:noWrap/>
            <w:hideMark/>
          </w:tcPr>
          <w:p w14:paraId="400A7D0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6D6B7E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FF282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0.98</w:t>
            </w:r>
          </w:p>
        </w:tc>
        <w:tc>
          <w:tcPr>
            <w:tcW w:w="1350" w:type="dxa"/>
            <w:noWrap/>
            <w:hideMark/>
          </w:tcPr>
          <w:p w14:paraId="2577E3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35E2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D82B374" w14:textId="77777777" w:rsidTr="00922E6F">
        <w:trPr>
          <w:trHeight w:val="268"/>
        </w:trPr>
        <w:tc>
          <w:tcPr>
            <w:tcW w:w="1278" w:type="dxa"/>
            <w:noWrap/>
            <w:hideMark/>
          </w:tcPr>
          <w:p w14:paraId="6790B0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31</w:t>
            </w:r>
          </w:p>
        </w:tc>
        <w:tc>
          <w:tcPr>
            <w:tcW w:w="1687" w:type="dxa"/>
            <w:noWrap/>
            <w:hideMark/>
          </w:tcPr>
          <w:p w14:paraId="34D0E24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C851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1722D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350" w:type="dxa"/>
            <w:noWrap/>
            <w:hideMark/>
          </w:tcPr>
          <w:p w14:paraId="54A0265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688" w:type="dxa"/>
            <w:noWrap/>
            <w:hideMark/>
          </w:tcPr>
          <w:p w14:paraId="1EEB8CBB"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1ACFB430" w14:textId="77777777" w:rsidTr="00922E6F">
        <w:trPr>
          <w:trHeight w:val="268"/>
        </w:trPr>
        <w:tc>
          <w:tcPr>
            <w:tcW w:w="1278" w:type="dxa"/>
            <w:noWrap/>
            <w:hideMark/>
          </w:tcPr>
          <w:p w14:paraId="2A2B5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32</w:t>
            </w:r>
          </w:p>
        </w:tc>
        <w:tc>
          <w:tcPr>
            <w:tcW w:w="1687" w:type="dxa"/>
            <w:noWrap/>
            <w:hideMark/>
          </w:tcPr>
          <w:p w14:paraId="5C4D3F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1688" w:type="dxa"/>
            <w:noWrap/>
            <w:hideMark/>
          </w:tcPr>
          <w:p w14:paraId="1A88CF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D9EE36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0.61</w:t>
            </w:r>
          </w:p>
        </w:tc>
        <w:tc>
          <w:tcPr>
            <w:tcW w:w="1350" w:type="dxa"/>
            <w:noWrap/>
            <w:hideMark/>
          </w:tcPr>
          <w:p w14:paraId="238630B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0.22</w:t>
            </w:r>
          </w:p>
        </w:tc>
        <w:tc>
          <w:tcPr>
            <w:tcW w:w="1688" w:type="dxa"/>
            <w:noWrap/>
            <w:hideMark/>
          </w:tcPr>
          <w:p w14:paraId="6E06ED6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4970A60A" w14:textId="77777777" w:rsidTr="00922E6F">
        <w:trPr>
          <w:trHeight w:val="268"/>
        </w:trPr>
        <w:tc>
          <w:tcPr>
            <w:tcW w:w="1278" w:type="dxa"/>
            <w:noWrap/>
            <w:hideMark/>
          </w:tcPr>
          <w:p w14:paraId="2D4048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33</w:t>
            </w:r>
          </w:p>
        </w:tc>
        <w:tc>
          <w:tcPr>
            <w:tcW w:w="1687" w:type="dxa"/>
            <w:noWrap/>
            <w:hideMark/>
          </w:tcPr>
          <w:p w14:paraId="1628CB7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0.63</w:t>
            </w:r>
          </w:p>
        </w:tc>
        <w:tc>
          <w:tcPr>
            <w:tcW w:w="1688" w:type="dxa"/>
            <w:noWrap/>
            <w:hideMark/>
          </w:tcPr>
          <w:p w14:paraId="3612134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E7996F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49A0E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3E11BC4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23EFCA3F" w14:textId="77777777" w:rsidTr="00922E6F">
        <w:trPr>
          <w:trHeight w:val="268"/>
        </w:trPr>
        <w:tc>
          <w:tcPr>
            <w:tcW w:w="1278" w:type="dxa"/>
            <w:noWrap/>
            <w:hideMark/>
          </w:tcPr>
          <w:p w14:paraId="019EB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34</w:t>
            </w:r>
          </w:p>
        </w:tc>
        <w:tc>
          <w:tcPr>
            <w:tcW w:w="1687" w:type="dxa"/>
            <w:noWrap/>
            <w:hideMark/>
          </w:tcPr>
          <w:p w14:paraId="4176FD0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noWrap/>
            <w:hideMark/>
          </w:tcPr>
          <w:p w14:paraId="0CD4EB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F598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noWrap/>
            <w:hideMark/>
          </w:tcPr>
          <w:p w14:paraId="08EF3FA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5D6918F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06CB5D54" w14:textId="77777777" w:rsidTr="00922E6F">
        <w:trPr>
          <w:trHeight w:val="268"/>
        </w:trPr>
        <w:tc>
          <w:tcPr>
            <w:tcW w:w="1278" w:type="dxa"/>
            <w:noWrap/>
            <w:hideMark/>
          </w:tcPr>
          <w:p w14:paraId="412E98C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35</w:t>
            </w:r>
          </w:p>
        </w:tc>
        <w:tc>
          <w:tcPr>
            <w:tcW w:w="1687" w:type="dxa"/>
            <w:noWrap/>
            <w:hideMark/>
          </w:tcPr>
          <w:p w14:paraId="33A88FA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649B75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B0A954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350" w:type="dxa"/>
            <w:noWrap/>
            <w:hideMark/>
          </w:tcPr>
          <w:p w14:paraId="200E606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6294F0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1BA7F31" w14:textId="77777777" w:rsidTr="00922E6F">
        <w:trPr>
          <w:trHeight w:val="268"/>
        </w:trPr>
        <w:tc>
          <w:tcPr>
            <w:tcW w:w="1278" w:type="dxa"/>
            <w:tcBorders>
              <w:bottom w:val="single" w:sz="4" w:space="0" w:color="auto"/>
            </w:tcBorders>
            <w:noWrap/>
            <w:hideMark/>
          </w:tcPr>
          <w:p w14:paraId="42C8111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36</w:t>
            </w:r>
          </w:p>
        </w:tc>
        <w:tc>
          <w:tcPr>
            <w:tcW w:w="1687" w:type="dxa"/>
            <w:tcBorders>
              <w:bottom w:val="single" w:sz="4" w:space="0" w:color="auto"/>
            </w:tcBorders>
            <w:noWrap/>
            <w:hideMark/>
          </w:tcPr>
          <w:p w14:paraId="10458F2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tcBorders>
              <w:bottom w:val="single" w:sz="4" w:space="0" w:color="auto"/>
            </w:tcBorders>
            <w:noWrap/>
            <w:hideMark/>
          </w:tcPr>
          <w:p w14:paraId="5792A50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bottom w:val="single" w:sz="4" w:space="0" w:color="auto"/>
            </w:tcBorders>
            <w:noWrap/>
            <w:hideMark/>
          </w:tcPr>
          <w:p w14:paraId="2FD23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tcBorders>
              <w:bottom w:val="single" w:sz="4" w:space="0" w:color="auto"/>
            </w:tcBorders>
            <w:noWrap/>
            <w:hideMark/>
          </w:tcPr>
          <w:p w14:paraId="2E5AF9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tcBorders>
              <w:bottom w:val="single" w:sz="4" w:space="0" w:color="auto"/>
            </w:tcBorders>
            <w:noWrap/>
            <w:hideMark/>
          </w:tcPr>
          <w:p w14:paraId="732F89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bl>
    <w:p w14:paraId="55F37062" w14:textId="77777777" w:rsidR="000122E9" w:rsidRPr="000122E9" w:rsidRDefault="000122E9" w:rsidP="00AB438C">
      <w:pPr>
        <w:pStyle w:val="NoSpacing"/>
        <w:spacing w:line="480" w:lineRule="auto"/>
      </w:pPr>
    </w:p>
    <w:sectPr w:rsidR="000122E9" w:rsidRPr="000122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son Zhou" w:date="2022-01-12T14:31:00Z" w:initials="JZ">
    <w:p w14:paraId="023F2740" w14:textId="78E0EF23" w:rsidR="00C15EA5" w:rsidRDefault="00C15EA5">
      <w:pPr>
        <w:pStyle w:val="CommentText"/>
      </w:pPr>
      <w:r>
        <w:rPr>
          <w:rStyle w:val="CommentReference"/>
        </w:rPr>
        <w:annotationRef/>
      </w:r>
      <w:r>
        <w:t>Not sure where this should go, maybe I should introduce the diffusion model sooner</w:t>
      </w:r>
    </w:p>
  </w:comment>
  <w:comment w:id="3" w:author="Jason Zhou" w:date="2022-01-11T14:12:00Z" w:initials="JZ">
    <w:p w14:paraId="45C7A65F" w14:textId="4B9586C0" w:rsidR="00C71428" w:rsidRDefault="00C71428">
      <w:pPr>
        <w:pStyle w:val="CommentText"/>
      </w:pPr>
      <w:r>
        <w:rPr>
          <w:rStyle w:val="CommentReference"/>
        </w:rPr>
        <w:annotationRef/>
      </w:r>
      <w:r>
        <w:t xml:space="preserve">Placeholder image ripped from </w:t>
      </w:r>
      <w:r w:rsidR="003E0BBC">
        <w:t>Healey et al., will need to generate my own, probably easiest to do this using the same dataset (PEERS)?</w:t>
      </w:r>
    </w:p>
  </w:comment>
  <w:comment w:id="4" w:author="Jason Zhou" w:date="2022-01-09T03:49:00Z" w:initials="JZ">
    <w:p w14:paraId="4E3F1636" w14:textId="1C9A040B" w:rsidR="00700B87" w:rsidRDefault="00700B87" w:rsidP="00700B87">
      <w:pPr>
        <w:ind w:firstLine="720"/>
      </w:pPr>
      <w:r>
        <w:rPr>
          <w:rStyle w:val="CommentReference"/>
        </w:rPr>
        <w:annotationRef/>
      </w:r>
      <w:r>
        <w:t>Cut, not sure if needed (mechanism, phonological similarity sawtooth effect)</w:t>
      </w:r>
      <w:r w:rsidR="005502B6">
        <w:t>. Do we really care about the mechanism for temporal associations (</w:t>
      </w:r>
      <w:proofErr w:type="gramStart"/>
      <w:r w:rsidR="005502B6">
        <w:t>i.e.</w:t>
      </w:r>
      <w:proofErr w:type="gramEnd"/>
      <w:r w:rsidR="005502B6">
        <w:t xml:space="preserve"> chaining vs positional coding)? Might be enough to say that it happens without getting into why in this case.</w:t>
      </w:r>
      <w:r>
        <w:br/>
      </w:r>
      <w:r>
        <w:br/>
        <w:t xml:space="preserve">Early modelling sought to explain this effect with two main types of mechanisms: associations between items and list position, and chains of items to item associations (Ebbinghaus, 1964; </w:t>
      </w:r>
      <w:proofErr w:type="spellStart"/>
      <w:r>
        <w:t>Wickelgren</w:t>
      </w:r>
      <w:proofErr w:type="spellEnd"/>
      <w:r>
        <w:t xml:space="preserve"> 1965). One challenge to chaining models was that Henson et al. (1996) were able to produce “sawtooth” </w:t>
      </w:r>
      <w:proofErr w:type="gramStart"/>
      <w:r>
        <w:t>patterns  by</w:t>
      </w:r>
      <w:proofErr w:type="gramEnd"/>
      <w:r>
        <w:t xml:space="preserve"> manipulating the phonological similarity of stimuli </w:t>
      </w:r>
    </w:p>
    <w:p w14:paraId="654402C9" w14:textId="77777777" w:rsidR="00700B87" w:rsidRDefault="00700B87" w:rsidP="00700B87">
      <w:pPr>
        <w:pStyle w:val="CommentText"/>
      </w:pPr>
      <w:r>
        <w:br/>
        <w:t>this suggested the effect was not due to the inherent order of items, but to the confusability of items due to proximity in the presentation items, and that this confusability can be affected by other features of stimuli as well.</w:t>
      </w:r>
    </w:p>
  </w:comment>
  <w:comment w:id="5" w:author="Jason Zhou" w:date="2022-01-12T12:53:00Z" w:initials="JZ">
    <w:p w14:paraId="0B25FE9C" w14:textId="1225301F"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6" w:author="Jason Zhou" w:date="2022-01-11T15:17:00Z" w:initials="JZ">
    <w:p w14:paraId="6D1ED937" w14:textId="0F05C176" w:rsidR="00E4399E" w:rsidRDefault="00E4399E">
      <w:pPr>
        <w:pStyle w:val="CommentText"/>
      </w:pPr>
      <w:r>
        <w:rPr>
          <w:rStyle w:val="CommentReference"/>
        </w:rPr>
        <w:annotationRef/>
      </w:r>
      <w:proofErr w:type="spellStart"/>
      <w:r>
        <w:t>Osth</w:t>
      </w:r>
      <w:proofErr w:type="spellEnd"/>
      <w:r>
        <w:t xml:space="preserve"> &amp; Fox (2019) recognition? People don’t seem to form temporal associations between pairs when tested on recognition</w:t>
      </w:r>
    </w:p>
  </w:comment>
  <w:comment w:id="7" w:author="Jason Zhou" w:date="2022-01-11T15:03:00Z" w:initials="JZ">
    <w:p w14:paraId="1669B557" w14:textId="40FA9DB7" w:rsidR="005C331C" w:rsidRDefault="005C331C">
      <w:pPr>
        <w:pStyle w:val="CommentText"/>
      </w:pPr>
      <w:r>
        <w:rPr>
          <w:rStyle w:val="CommentReference"/>
        </w:rPr>
        <w:annotationRef/>
      </w:r>
      <w:r>
        <w:t xml:space="preserve">I feel I am missing something here to </w:t>
      </w:r>
      <w:r w:rsidR="000E00B0">
        <w:t xml:space="preserve">highlight the relevance to our work. </w:t>
      </w:r>
      <w:r>
        <w:t xml:space="preserve">Maybe something to do with how in source memory, people learn associations between items and source, which is </w:t>
      </w:r>
      <w:proofErr w:type="gramStart"/>
      <w:r>
        <w:t>similar to</w:t>
      </w:r>
      <w:proofErr w:type="gramEnd"/>
      <w:r>
        <w:t xml:space="preserve"> how people learn associations between pairs of items. That we see this same old contiguity effect on intrusions between temporally proximate pairs suggests we can expect the same sort of </w:t>
      </w:r>
      <w:proofErr w:type="spellStart"/>
      <w:r>
        <w:t>behaviour</w:t>
      </w:r>
      <w:proofErr w:type="spellEnd"/>
      <w:r>
        <w:t xml:space="preserve"> in “pairs” of item and source locations in our task.</w:t>
      </w:r>
      <w:r w:rsidR="00E4399E">
        <w:t xml:space="preserve"> </w:t>
      </w:r>
    </w:p>
  </w:comment>
  <w:comment w:id="8" w:author="Jason Zhou" w:date="2022-01-11T17:56:00Z" w:initials="JZ">
    <w:p w14:paraId="2A6F6D46" w14:textId="19C5F6D6" w:rsidR="00B65541" w:rsidRDefault="00B65541">
      <w:pPr>
        <w:pStyle w:val="CommentText"/>
      </w:pPr>
      <w:r>
        <w:rPr>
          <w:rStyle w:val="CommentReference"/>
        </w:rPr>
        <w:annotationRef/>
      </w:r>
      <w:r>
        <w:t>Can point readers to Figure 12 in that paper? Or make my own from the data.</w:t>
      </w:r>
    </w:p>
  </w:comment>
  <w:comment w:id="9" w:author="Jason Zhou" w:date="2022-01-12T17:35:00Z" w:initials="JZ">
    <w:p w14:paraId="67688366" w14:textId="6D9424CA" w:rsidR="008F23C3" w:rsidRDefault="008F23C3">
      <w:pPr>
        <w:pStyle w:val="CommentText"/>
      </w:pPr>
      <w:r>
        <w:rPr>
          <w:rStyle w:val="CommentReference"/>
        </w:rPr>
        <w:annotationRef/>
      </w:r>
      <w:r>
        <w:t>Could include “Model 4” info here</w:t>
      </w:r>
    </w:p>
  </w:comment>
  <w:comment w:id="10" w:author="Jason Zhou" w:date="2022-01-14T11:29:00Z" w:initials="JZ">
    <w:p w14:paraId="2ECD3308" w14:textId="39A47B2B" w:rsidR="00AA57E0" w:rsidRDefault="00AA57E0">
      <w:pPr>
        <w:pStyle w:val="CommentText"/>
      </w:pPr>
      <w:r>
        <w:rPr>
          <w:rStyle w:val="CommentReference"/>
        </w:rPr>
        <w:annotationRef/>
      </w:r>
      <w:r>
        <w:t xml:space="preserve">Might need to expand on cue and report feature asymmetry- the privileged role of location? In some of these </w:t>
      </w:r>
      <w:proofErr w:type="gramStart"/>
      <w:r>
        <w:t>tasks</w:t>
      </w:r>
      <w:proofErr w:type="gramEnd"/>
      <w:r>
        <w:t xml:space="preserve"> location is the cue, which might be confused- in ours location is the feature people report. </w:t>
      </w:r>
    </w:p>
  </w:comment>
  <w:comment w:id="11" w:author="Jason Zhou" w:date="2022-01-14T12:34:00Z" w:initials="JZ">
    <w:p w14:paraId="5FAD2D38" w14:textId="45FC1968" w:rsidR="008B2A04" w:rsidRDefault="008B2A04">
      <w:pPr>
        <w:pStyle w:val="CommentText"/>
      </w:pPr>
      <w:r>
        <w:rPr>
          <w:rStyle w:val="CommentReference"/>
        </w:rPr>
        <w:annotationRef/>
      </w:r>
      <w:r>
        <w:t xml:space="preserve">Don’t really know what </w:t>
      </w:r>
      <w:proofErr w:type="spellStart"/>
      <w:r>
        <w:t>im</w:t>
      </w:r>
      <w:proofErr w:type="spellEnd"/>
      <w:r>
        <w:t xml:space="preserve"> talking about here, will probably need some shoring up</w:t>
      </w:r>
    </w:p>
  </w:comment>
  <w:comment w:id="12" w:author="Jason Zhou" w:date="2022-01-07T19:08:00Z" w:initials="JZ">
    <w:p w14:paraId="64D160EA" w14:textId="2C89DC91" w:rsidR="004751CC" w:rsidRDefault="004751CC">
      <w:pPr>
        <w:pStyle w:val="CommentText"/>
      </w:pPr>
      <w:r>
        <w:rPr>
          <w:rStyle w:val="CommentReference"/>
        </w:rPr>
        <w:annotationRef/>
      </w:r>
      <w:r>
        <w:t>Maybe should go in results, describe the models as we go</w:t>
      </w:r>
    </w:p>
  </w:comment>
  <w:comment w:id="13" w:author="Jason Zhou" w:date="2022-01-14T20:25:00Z" w:initials="JZ">
    <w:p w14:paraId="5DCFC023" w14:textId="4CC02769" w:rsidR="009F3E0D" w:rsidRDefault="009F3E0D">
      <w:pPr>
        <w:pStyle w:val="CommentText"/>
      </w:pPr>
      <w:r>
        <w:rPr>
          <w:rStyle w:val="CommentReference"/>
        </w:rPr>
        <w:annotationRef/>
      </w:r>
      <w:r>
        <w:t>Forgot to include the neat feature of producing recency, and to a lesser extent, primacy effects of error as intrusions hit boundaries of the list. Is this worth mentioning here? I note that we never really do a super convincing job of predicting the serial position effect in the actual data, and it runs into that tricky thing with different guessing rate for primacy item and the three-component ambiguity problem.</w:t>
      </w:r>
    </w:p>
  </w:comment>
  <w:comment w:id="14" w:author="Jason Zhou" w:date="2022-01-11T17:44:00Z" w:initials="JZ">
    <w:p w14:paraId="14E9BFB3" w14:textId="7A53DEA6" w:rsidR="00963F40" w:rsidRDefault="00963F40">
      <w:pPr>
        <w:pStyle w:val="CommentText"/>
      </w:pPr>
      <w:r>
        <w:rPr>
          <w:rStyle w:val="CommentReference"/>
        </w:rPr>
        <w:annotationRef/>
      </w:r>
      <w:r>
        <w:t>1-</w:t>
      </w:r>
      <w:proofErr w:type="gramStart"/>
      <w:r>
        <w:t>cos(</w:t>
      </w:r>
      <w:proofErr w:type="gramEnd"/>
      <w:r w:rsidR="001A0539">
        <w:t>)</w:t>
      </w:r>
    </w:p>
  </w:comment>
  <w:comment w:id="18" w:author="Jason Zhou" w:date="2021-12-22T16:24:00Z" w:initials="JZ">
    <w:p w14:paraId="517655DC" w14:textId="223ECAEB" w:rsidR="00836CE7" w:rsidRDefault="00836CE7">
      <w:pPr>
        <w:pStyle w:val="CommentText"/>
      </w:pPr>
      <w:r>
        <w:rPr>
          <w:rStyle w:val="CommentReference"/>
        </w:rPr>
        <w:annotationRef/>
      </w:r>
      <w:r>
        <w:t>Is this good enough? Could provide significance tests on parameter estimates from the model, but not sure if that’s worthwhile</w:t>
      </w:r>
    </w:p>
  </w:comment>
  <w:comment w:id="19" w:author="Jason Zhou" w:date="2022-01-06T12:37:00Z" w:initials="JZ">
    <w:p w14:paraId="1B6607BC" w14:textId="77777777" w:rsidR="00270C55" w:rsidRDefault="00270C55" w:rsidP="00270C55">
      <w:pPr>
        <w:pStyle w:val="CommentText"/>
      </w:pPr>
      <w:r>
        <w:rPr>
          <w:rStyle w:val="CommentReference"/>
        </w:rPr>
        <w:annotationRef/>
      </w:r>
      <w:r>
        <w:t>placeholder. Is this really needed or just clutter</w:t>
      </w:r>
    </w:p>
  </w:comment>
  <w:comment w:id="20" w:author="Jason Zhou" w:date="2022-01-14T23:32:00Z" w:initials="JZ">
    <w:p w14:paraId="3F56D05F" w14:textId="77777777" w:rsidR="00270C55" w:rsidRDefault="00270C55" w:rsidP="00270C55">
      <w:pPr>
        <w:pStyle w:val="CommentText"/>
      </w:pPr>
      <w:r>
        <w:rPr>
          <w:rStyle w:val="CommentReference"/>
        </w:rPr>
        <w:annotationRef/>
      </w:r>
      <w:r>
        <w:t>To do: check the pure intrusion with two precision parameter fits.</w:t>
      </w:r>
    </w:p>
  </w:comment>
  <w:comment w:id="21" w:author="Jason Zhou [2]" w:date="2021-09-26T13:41:00Z" w:initials="JZ">
    <w:p w14:paraId="7D9B4062" w14:textId="21E66AE4" w:rsidR="000122E9" w:rsidRDefault="000122E9">
      <w:pPr>
        <w:pStyle w:val="CommentText"/>
      </w:pPr>
      <w:r>
        <w:rPr>
          <w:rStyle w:val="CommentReference"/>
        </w:rPr>
        <w:annotationRef/>
      </w:r>
      <w:r>
        <w:t>Some justification of small n probably needed here</w:t>
      </w:r>
      <w:r w:rsidR="00F67B77">
        <w:t>, perhaps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3F2740" w15:done="0"/>
  <w15:commentEx w15:paraId="45C7A65F" w15:done="0"/>
  <w15:commentEx w15:paraId="654402C9" w15:done="0"/>
  <w15:commentEx w15:paraId="0B25FE9C" w15:done="0"/>
  <w15:commentEx w15:paraId="6D1ED937" w15:done="0"/>
  <w15:commentEx w15:paraId="1669B557" w15:done="0"/>
  <w15:commentEx w15:paraId="2A6F6D46" w15:done="0"/>
  <w15:commentEx w15:paraId="67688366" w15:done="0"/>
  <w15:commentEx w15:paraId="2ECD3308" w15:done="0"/>
  <w15:commentEx w15:paraId="5FAD2D38" w15:done="0"/>
  <w15:commentEx w15:paraId="64D160EA" w15:done="0"/>
  <w15:commentEx w15:paraId="5DCFC023" w15:done="0"/>
  <w15:commentEx w15:paraId="14E9BFB3" w15:done="0"/>
  <w15:commentEx w15:paraId="517655DC" w15:done="0"/>
  <w15:commentEx w15:paraId="1B6607BC" w15:done="0"/>
  <w15:commentEx w15:paraId="3F56D05F" w15:done="0"/>
  <w15:commentEx w15:paraId="7D9B40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64AE" w16cex:dateUtc="2022-01-12T03:31:00Z"/>
  <w16cex:commentExtensible w16cex:durableId="25880EE8" w16cex:dateUtc="2022-01-11T03:12:00Z"/>
  <w16cex:commentExtensible w16cex:durableId="2584D9B0" w16cex:dateUtc="2022-01-08T16:49:00Z"/>
  <w16cex:commentExtensible w16cex:durableId="25894DD2" w16cex:dateUtc="2022-01-12T01:53:00Z"/>
  <w16cex:commentExtensible w16cex:durableId="25881E14" w16cex:dateUtc="2022-01-11T04:17:00Z"/>
  <w16cex:commentExtensible w16cex:durableId="25881ACD" w16cex:dateUtc="2022-01-11T04:03:00Z"/>
  <w16cex:commentExtensible w16cex:durableId="25884358" w16cex:dateUtc="2022-01-11T06:56:00Z"/>
  <w16cex:commentExtensible w16cex:durableId="25898FE4" w16cex:dateUtc="2022-01-12T06:35:00Z"/>
  <w16cex:commentExtensible w16cex:durableId="258BDD20" w16cex:dateUtc="2022-01-14T00:29:00Z"/>
  <w16cex:commentExtensible w16cex:durableId="258BEC47" w16cex:dateUtc="2022-01-14T01:34:00Z"/>
  <w16cex:commentExtensible w16cex:durableId="25830E2C" w16cex:dateUtc="2022-01-07T08:08:00Z"/>
  <w16cex:commentExtensible w16cex:durableId="258C5AC3" w16cex:dateUtc="2022-01-14T09:25:00Z"/>
  <w16cex:commentExtensible w16cex:durableId="2588408B" w16cex:dateUtc="2022-01-11T06:44:00Z"/>
  <w16cex:commentExtensible w16cex:durableId="256DCFB8" w16cex:dateUtc="2021-12-22T05:24:00Z"/>
  <w16cex:commentExtensible w16cex:durableId="25816120" w16cex:dateUtc="2022-01-06T01:37:00Z"/>
  <w16cex:commentExtensible w16cex:durableId="258C8688" w16cex:dateUtc="2022-01-14T12:32:00Z"/>
  <w16cex:commentExtensible w16cex:durableId="24FAF705" w16cex:dateUtc="2021-09-26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3F2740" w16cid:durableId="258964AE"/>
  <w16cid:commentId w16cid:paraId="45C7A65F" w16cid:durableId="25880EE8"/>
  <w16cid:commentId w16cid:paraId="654402C9" w16cid:durableId="2584D9B0"/>
  <w16cid:commentId w16cid:paraId="0B25FE9C" w16cid:durableId="25894DD2"/>
  <w16cid:commentId w16cid:paraId="6D1ED937" w16cid:durableId="25881E14"/>
  <w16cid:commentId w16cid:paraId="1669B557" w16cid:durableId="25881ACD"/>
  <w16cid:commentId w16cid:paraId="2A6F6D46" w16cid:durableId="25884358"/>
  <w16cid:commentId w16cid:paraId="67688366" w16cid:durableId="25898FE4"/>
  <w16cid:commentId w16cid:paraId="2ECD3308" w16cid:durableId="258BDD20"/>
  <w16cid:commentId w16cid:paraId="5FAD2D38" w16cid:durableId="258BEC47"/>
  <w16cid:commentId w16cid:paraId="64D160EA" w16cid:durableId="25830E2C"/>
  <w16cid:commentId w16cid:paraId="5DCFC023" w16cid:durableId="258C5AC3"/>
  <w16cid:commentId w16cid:paraId="14E9BFB3" w16cid:durableId="2588408B"/>
  <w16cid:commentId w16cid:paraId="517655DC" w16cid:durableId="256DCFB8"/>
  <w16cid:commentId w16cid:paraId="1B6607BC" w16cid:durableId="25816120"/>
  <w16cid:commentId w16cid:paraId="3F56D05F" w16cid:durableId="258C8688"/>
  <w16cid:commentId w16cid:paraId="7D9B4062" w16cid:durableId="24FAF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8A67E" w14:textId="77777777" w:rsidR="00FF6368" w:rsidRDefault="00FF6368" w:rsidP="007E52C1">
      <w:pPr>
        <w:spacing w:line="240" w:lineRule="auto"/>
      </w:pPr>
      <w:r>
        <w:separator/>
      </w:r>
    </w:p>
  </w:endnote>
  <w:endnote w:type="continuationSeparator" w:id="0">
    <w:p w14:paraId="7EB7EA91" w14:textId="77777777" w:rsidR="00FF6368" w:rsidRDefault="00FF6368"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34C7D" w14:textId="77777777" w:rsidR="00FF6368" w:rsidRDefault="00FF6368" w:rsidP="007E52C1">
      <w:pPr>
        <w:spacing w:line="240" w:lineRule="auto"/>
      </w:pPr>
      <w:r>
        <w:separator/>
      </w:r>
    </w:p>
  </w:footnote>
  <w:footnote w:type="continuationSeparator" w:id="0">
    <w:p w14:paraId="180F3D2B" w14:textId="77777777" w:rsidR="00FF6368" w:rsidRDefault="00FF6368"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111A1268" w14:textId="2FA12D93" w:rsidR="00AB3E93" w:rsidRPr="00410CE9" w:rsidRDefault="00AB3E93">
      <w:pPr>
        <w:pStyle w:val="FootnoteText"/>
      </w:pPr>
      <w:r>
        <w:rPr>
          <w:rStyle w:val="FootnoteReference"/>
        </w:rPr>
        <w:footnoteRef/>
      </w:r>
      <w:r>
        <w:t xml:space="preserve"> </w:t>
      </w:r>
      <w:r w:rsidR="007C03AF">
        <w:t xml:space="preserve">We </w:t>
      </w:r>
      <w:r w:rsidR="00410CE9">
        <w:t xml:space="preserve">refer to erroneous responses driven by non-target items as intrusions, describing how words from non-target word-location pairs are intruding on the cued pair. These within-list intrusions are not to be confused with extra-list intrusions, or </w:t>
      </w:r>
      <w:r w:rsidR="00410CE9">
        <w:rPr>
          <w:i/>
          <w:iCs/>
        </w:rPr>
        <w:t>protrusion</w:t>
      </w:r>
      <w:r w:rsidR="00410CE9">
        <w:t xml:space="preserve"> errors, which we do not expect to contribute to errors in our paradigm.</w:t>
      </w:r>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30B7D"/>
    <w:multiLevelType w:val="hybridMultilevel"/>
    <w:tmpl w:val="B7D4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2EA"/>
    <w:rsid w:val="00003258"/>
    <w:rsid w:val="00006759"/>
    <w:rsid w:val="000122E9"/>
    <w:rsid w:val="0001696A"/>
    <w:rsid w:val="00026CF5"/>
    <w:rsid w:val="00036300"/>
    <w:rsid w:val="00045DC9"/>
    <w:rsid w:val="0005192E"/>
    <w:rsid w:val="00053596"/>
    <w:rsid w:val="00064CA3"/>
    <w:rsid w:val="00073F02"/>
    <w:rsid w:val="00074475"/>
    <w:rsid w:val="000845E2"/>
    <w:rsid w:val="0008468F"/>
    <w:rsid w:val="00084700"/>
    <w:rsid w:val="00091E7E"/>
    <w:rsid w:val="000A078C"/>
    <w:rsid w:val="000A44C7"/>
    <w:rsid w:val="000E00B0"/>
    <w:rsid w:val="000F1574"/>
    <w:rsid w:val="000F3BC1"/>
    <w:rsid w:val="000F4C88"/>
    <w:rsid w:val="000F7F6D"/>
    <w:rsid w:val="0010500A"/>
    <w:rsid w:val="0010687C"/>
    <w:rsid w:val="001545BE"/>
    <w:rsid w:val="001622E5"/>
    <w:rsid w:val="001634FC"/>
    <w:rsid w:val="00164B62"/>
    <w:rsid w:val="00181556"/>
    <w:rsid w:val="00190E61"/>
    <w:rsid w:val="00192FDE"/>
    <w:rsid w:val="0019414A"/>
    <w:rsid w:val="00197896"/>
    <w:rsid w:val="001A0539"/>
    <w:rsid w:val="001A2F6A"/>
    <w:rsid w:val="001B59ED"/>
    <w:rsid w:val="001C20D5"/>
    <w:rsid w:val="001C20FF"/>
    <w:rsid w:val="001D333F"/>
    <w:rsid w:val="001E1180"/>
    <w:rsid w:val="001E1700"/>
    <w:rsid w:val="001E1D8D"/>
    <w:rsid w:val="001E52A7"/>
    <w:rsid w:val="001F2A55"/>
    <w:rsid w:val="001F4D6B"/>
    <w:rsid w:val="001F66C8"/>
    <w:rsid w:val="00200E36"/>
    <w:rsid w:val="002256FD"/>
    <w:rsid w:val="0024544B"/>
    <w:rsid w:val="00245987"/>
    <w:rsid w:val="00270C55"/>
    <w:rsid w:val="002741AA"/>
    <w:rsid w:val="00275357"/>
    <w:rsid w:val="002858AF"/>
    <w:rsid w:val="00287A8A"/>
    <w:rsid w:val="002978EC"/>
    <w:rsid w:val="002A24B8"/>
    <w:rsid w:val="002B7130"/>
    <w:rsid w:val="002C15F7"/>
    <w:rsid w:val="002C1900"/>
    <w:rsid w:val="002D795C"/>
    <w:rsid w:val="002F3C8C"/>
    <w:rsid w:val="0030035B"/>
    <w:rsid w:val="00304D59"/>
    <w:rsid w:val="00306751"/>
    <w:rsid w:val="00313AF7"/>
    <w:rsid w:val="0031666D"/>
    <w:rsid w:val="00333A4E"/>
    <w:rsid w:val="003366BD"/>
    <w:rsid w:val="00340C27"/>
    <w:rsid w:val="0035058F"/>
    <w:rsid w:val="00352A2E"/>
    <w:rsid w:val="00361BA3"/>
    <w:rsid w:val="00364195"/>
    <w:rsid w:val="00364BA9"/>
    <w:rsid w:val="00372811"/>
    <w:rsid w:val="00376C64"/>
    <w:rsid w:val="003779D8"/>
    <w:rsid w:val="00386F94"/>
    <w:rsid w:val="003958DA"/>
    <w:rsid w:val="00397C93"/>
    <w:rsid w:val="003B66F4"/>
    <w:rsid w:val="003C780C"/>
    <w:rsid w:val="003D0F63"/>
    <w:rsid w:val="003D6D9B"/>
    <w:rsid w:val="003E01A7"/>
    <w:rsid w:val="003E0BBC"/>
    <w:rsid w:val="00405C1D"/>
    <w:rsid w:val="00410CE9"/>
    <w:rsid w:val="004110F3"/>
    <w:rsid w:val="00422C90"/>
    <w:rsid w:val="004244A4"/>
    <w:rsid w:val="00425F1B"/>
    <w:rsid w:val="0045042A"/>
    <w:rsid w:val="00454E54"/>
    <w:rsid w:val="00457875"/>
    <w:rsid w:val="0046712F"/>
    <w:rsid w:val="004706E0"/>
    <w:rsid w:val="004751CC"/>
    <w:rsid w:val="0047737D"/>
    <w:rsid w:val="00481E8F"/>
    <w:rsid w:val="004950B8"/>
    <w:rsid w:val="004A3EF5"/>
    <w:rsid w:val="004B52E8"/>
    <w:rsid w:val="004C1A8C"/>
    <w:rsid w:val="004C2911"/>
    <w:rsid w:val="004C6AA3"/>
    <w:rsid w:val="004E7D3C"/>
    <w:rsid w:val="00500156"/>
    <w:rsid w:val="00501E59"/>
    <w:rsid w:val="00515693"/>
    <w:rsid w:val="005345B5"/>
    <w:rsid w:val="00536AA2"/>
    <w:rsid w:val="005445D1"/>
    <w:rsid w:val="005502B6"/>
    <w:rsid w:val="005614B7"/>
    <w:rsid w:val="0056749C"/>
    <w:rsid w:val="005966C0"/>
    <w:rsid w:val="005B623F"/>
    <w:rsid w:val="005B750B"/>
    <w:rsid w:val="005C0F91"/>
    <w:rsid w:val="005C331C"/>
    <w:rsid w:val="005F256E"/>
    <w:rsid w:val="005F79E1"/>
    <w:rsid w:val="00605CD2"/>
    <w:rsid w:val="00624F1B"/>
    <w:rsid w:val="00627AF4"/>
    <w:rsid w:val="00635D75"/>
    <w:rsid w:val="00646DE9"/>
    <w:rsid w:val="0064731C"/>
    <w:rsid w:val="00652CC7"/>
    <w:rsid w:val="0065639F"/>
    <w:rsid w:val="00660E78"/>
    <w:rsid w:val="00664855"/>
    <w:rsid w:val="00667F96"/>
    <w:rsid w:val="00675C54"/>
    <w:rsid w:val="006764A7"/>
    <w:rsid w:val="006764BD"/>
    <w:rsid w:val="006801B5"/>
    <w:rsid w:val="00682D09"/>
    <w:rsid w:val="00684EFC"/>
    <w:rsid w:val="00686DE9"/>
    <w:rsid w:val="00695A35"/>
    <w:rsid w:val="006A43F4"/>
    <w:rsid w:val="006B1265"/>
    <w:rsid w:val="006C49FF"/>
    <w:rsid w:val="006C660F"/>
    <w:rsid w:val="006C6F79"/>
    <w:rsid w:val="006C7D4A"/>
    <w:rsid w:val="006D6FA5"/>
    <w:rsid w:val="006E1CCD"/>
    <w:rsid w:val="006E2760"/>
    <w:rsid w:val="006E2CF8"/>
    <w:rsid w:val="006F344A"/>
    <w:rsid w:val="006F4090"/>
    <w:rsid w:val="00700B87"/>
    <w:rsid w:val="007165B0"/>
    <w:rsid w:val="007239B9"/>
    <w:rsid w:val="00724BCA"/>
    <w:rsid w:val="00731F13"/>
    <w:rsid w:val="00743C42"/>
    <w:rsid w:val="0075535E"/>
    <w:rsid w:val="0076542F"/>
    <w:rsid w:val="00795979"/>
    <w:rsid w:val="007A3E2B"/>
    <w:rsid w:val="007B2969"/>
    <w:rsid w:val="007B6CC7"/>
    <w:rsid w:val="007C03AF"/>
    <w:rsid w:val="007D0C7C"/>
    <w:rsid w:val="007D15E1"/>
    <w:rsid w:val="007D1D61"/>
    <w:rsid w:val="007E0845"/>
    <w:rsid w:val="007E52C1"/>
    <w:rsid w:val="007E7907"/>
    <w:rsid w:val="007F31A0"/>
    <w:rsid w:val="007F7F16"/>
    <w:rsid w:val="00803AD8"/>
    <w:rsid w:val="008153D5"/>
    <w:rsid w:val="00820EA2"/>
    <w:rsid w:val="00822C82"/>
    <w:rsid w:val="00830960"/>
    <w:rsid w:val="00836CE7"/>
    <w:rsid w:val="00837A33"/>
    <w:rsid w:val="00842DEA"/>
    <w:rsid w:val="00845FB8"/>
    <w:rsid w:val="00846B61"/>
    <w:rsid w:val="00852F09"/>
    <w:rsid w:val="0085389E"/>
    <w:rsid w:val="00856E58"/>
    <w:rsid w:val="00866671"/>
    <w:rsid w:val="008702AA"/>
    <w:rsid w:val="00871770"/>
    <w:rsid w:val="0087291B"/>
    <w:rsid w:val="0087325F"/>
    <w:rsid w:val="00884D09"/>
    <w:rsid w:val="008B2A04"/>
    <w:rsid w:val="008D438A"/>
    <w:rsid w:val="008F1972"/>
    <w:rsid w:val="008F23C3"/>
    <w:rsid w:val="0090158D"/>
    <w:rsid w:val="009028F6"/>
    <w:rsid w:val="00904A89"/>
    <w:rsid w:val="00917D6F"/>
    <w:rsid w:val="00922E6F"/>
    <w:rsid w:val="009426BB"/>
    <w:rsid w:val="00952EA2"/>
    <w:rsid w:val="00960031"/>
    <w:rsid w:val="00963F40"/>
    <w:rsid w:val="00976FAE"/>
    <w:rsid w:val="00982446"/>
    <w:rsid w:val="00984BA7"/>
    <w:rsid w:val="00985420"/>
    <w:rsid w:val="00990164"/>
    <w:rsid w:val="0099116D"/>
    <w:rsid w:val="0099799D"/>
    <w:rsid w:val="009A27DC"/>
    <w:rsid w:val="009A5F38"/>
    <w:rsid w:val="009D2B61"/>
    <w:rsid w:val="009D3F3A"/>
    <w:rsid w:val="009E28C6"/>
    <w:rsid w:val="009E3781"/>
    <w:rsid w:val="009F0DE0"/>
    <w:rsid w:val="009F13F1"/>
    <w:rsid w:val="009F3E0D"/>
    <w:rsid w:val="009F43EF"/>
    <w:rsid w:val="00A01291"/>
    <w:rsid w:val="00A07395"/>
    <w:rsid w:val="00A102EA"/>
    <w:rsid w:val="00A142A0"/>
    <w:rsid w:val="00A15F84"/>
    <w:rsid w:val="00A16862"/>
    <w:rsid w:val="00A4021E"/>
    <w:rsid w:val="00A4169E"/>
    <w:rsid w:val="00A4336A"/>
    <w:rsid w:val="00A540F7"/>
    <w:rsid w:val="00A5457D"/>
    <w:rsid w:val="00A56C45"/>
    <w:rsid w:val="00A60491"/>
    <w:rsid w:val="00A65056"/>
    <w:rsid w:val="00A71B02"/>
    <w:rsid w:val="00A82FDB"/>
    <w:rsid w:val="00A949D8"/>
    <w:rsid w:val="00AA4910"/>
    <w:rsid w:val="00AA57E0"/>
    <w:rsid w:val="00AB3E93"/>
    <w:rsid w:val="00AB438C"/>
    <w:rsid w:val="00AE7EA6"/>
    <w:rsid w:val="00AF5BA7"/>
    <w:rsid w:val="00B020C5"/>
    <w:rsid w:val="00B03691"/>
    <w:rsid w:val="00B0786F"/>
    <w:rsid w:val="00B21DB0"/>
    <w:rsid w:val="00B23A09"/>
    <w:rsid w:val="00B2595C"/>
    <w:rsid w:val="00B26CD6"/>
    <w:rsid w:val="00B315CA"/>
    <w:rsid w:val="00B3193A"/>
    <w:rsid w:val="00B36472"/>
    <w:rsid w:val="00B367F0"/>
    <w:rsid w:val="00B36CC3"/>
    <w:rsid w:val="00B40587"/>
    <w:rsid w:val="00B407EC"/>
    <w:rsid w:val="00B418C4"/>
    <w:rsid w:val="00B467EC"/>
    <w:rsid w:val="00B513F7"/>
    <w:rsid w:val="00B5196B"/>
    <w:rsid w:val="00B6538A"/>
    <w:rsid w:val="00B65541"/>
    <w:rsid w:val="00B74987"/>
    <w:rsid w:val="00B9603C"/>
    <w:rsid w:val="00B96A04"/>
    <w:rsid w:val="00BA0BD5"/>
    <w:rsid w:val="00BB3DEA"/>
    <w:rsid w:val="00BB64FF"/>
    <w:rsid w:val="00BC16B0"/>
    <w:rsid w:val="00BC58E1"/>
    <w:rsid w:val="00BD2C06"/>
    <w:rsid w:val="00BE1D05"/>
    <w:rsid w:val="00BE2469"/>
    <w:rsid w:val="00BE2AC7"/>
    <w:rsid w:val="00BE415E"/>
    <w:rsid w:val="00BF0183"/>
    <w:rsid w:val="00BF02D3"/>
    <w:rsid w:val="00BF0316"/>
    <w:rsid w:val="00BF224C"/>
    <w:rsid w:val="00BF5CB5"/>
    <w:rsid w:val="00C04912"/>
    <w:rsid w:val="00C05590"/>
    <w:rsid w:val="00C15EA5"/>
    <w:rsid w:val="00C200E9"/>
    <w:rsid w:val="00C22DA6"/>
    <w:rsid w:val="00C26C43"/>
    <w:rsid w:val="00C30187"/>
    <w:rsid w:val="00C33EC8"/>
    <w:rsid w:val="00C45737"/>
    <w:rsid w:val="00C548D9"/>
    <w:rsid w:val="00C71428"/>
    <w:rsid w:val="00C72772"/>
    <w:rsid w:val="00C91C7C"/>
    <w:rsid w:val="00C96F8B"/>
    <w:rsid w:val="00CA17A7"/>
    <w:rsid w:val="00CB071F"/>
    <w:rsid w:val="00CB209E"/>
    <w:rsid w:val="00CB3EB9"/>
    <w:rsid w:val="00CC215E"/>
    <w:rsid w:val="00CD1D21"/>
    <w:rsid w:val="00CD2247"/>
    <w:rsid w:val="00CD3AB8"/>
    <w:rsid w:val="00CD61EA"/>
    <w:rsid w:val="00CD78D3"/>
    <w:rsid w:val="00CE4DB3"/>
    <w:rsid w:val="00CE5905"/>
    <w:rsid w:val="00CF2571"/>
    <w:rsid w:val="00CF5FB9"/>
    <w:rsid w:val="00D02FC6"/>
    <w:rsid w:val="00D05FE5"/>
    <w:rsid w:val="00D106F7"/>
    <w:rsid w:val="00D10A43"/>
    <w:rsid w:val="00D125E7"/>
    <w:rsid w:val="00D15205"/>
    <w:rsid w:val="00D152AA"/>
    <w:rsid w:val="00D27E85"/>
    <w:rsid w:val="00D300FA"/>
    <w:rsid w:val="00D32D72"/>
    <w:rsid w:val="00D36464"/>
    <w:rsid w:val="00D63E76"/>
    <w:rsid w:val="00D64C1C"/>
    <w:rsid w:val="00D656BF"/>
    <w:rsid w:val="00D679D5"/>
    <w:rsid w:val="00D769AA"/>
    <w:rsid w:val="00D83317"/>
    <w:rsid w:val="00D97925"/>
    <w:rsid w:val="00DA1032"/>
    <w:rsid w:val="00DA61BC"/>
    <w:rsid w:val="00DB512C"/>
    <w:rsid w:val="00DD1A69"/>
    <w:rsid w:val="00DD2186"/>
    <w:rsid w:val="00DD5346"/>
    <w:rsid w:val="00DF3B50"/>
    <w:rsid w:val="00E0126C"/>
    <w:rsid w:val="00E11ED5"/>
    <w:rsid w:val="00E11FC8"/>
    <w:rsid w:val="00E20794"/>
    <w:rsid w:val="00E235DE"/>
    <w:rsid w:val="00E260F5"/>
    <w:rsid w:val="00E4399E"/>
    <w:rsid w:val="00E50E79"/>
    <w:rsid w:val="00E705CF"/>
    <w:rsid w:val="00E84818"/>
    <w:rsid w:val="00E9077B"/>
    <w:rsid w:val="00E91755"/>
    <w:rsid w:val="00E91C0E"/>
    <w:rsid w:val="00E96738"/>
    <w:rsid w:val="00E96D11"/>
    <w:rsid w:val="00EB183A"/>
    <w:rsid w:val="00EB43F2"/>
    <w:rsid w:val="00EB7BDD"/>
    <w:rsid w:val="00EC5A27"/>
    <w:rsid w:val="00EE4EC3"/>
    <w:rsid w:val="00EF0B1A"/>
    <w:rsid w:val="00EF6F5E"/>
    <w:rsid w:val="00F13A3A"/>
    <w:rsid w:val="00F16B07"/>
    <w:rsid w:val="00F2208E"/>
    <w:rsid w:val="00F251CB"/>
    <w:rsid w:val="00F32F0D"/>
    <w:rsid w:val="00F33643"/>
    <w:rsid w:val="00F36BD2"/>
    <w:rsid w:val="00F36DE8"/>
    <w:rsid w:val="00F406B9"/>
    <w:rsid w:val="00F40860"/>
    <w:rsid w:val="00F420B0"/>
    <w:rsid w:val="00F45C52"/>
    <w:rsid w:val="00F65512"/>
    <w:rsid w:val="00F66CDA"/>
    <w:rsid w:val="00F67B77"/>
    <w:rsid w:val="00F71986"/>
    <w:rsid w:val="00F86B45"/>
    <w:rsid w:val="00F86BFC"/>
    <w:rsid w:val="00F9144D"/>
    <w:rsid w:val="00FA2B3E"/>
    <w:rsid w:val="00FA2F0B"/>
    <w:rsid w:val="00FC03C6"/>
    <w:rsid w:val="00FC4E0F"/>
    <w:rsid w:val="00FC5714"/>
    <w:rsid w:val="00FC6389"/>
    <w:rsid w:val="00FD57A8"/>
    <w:rsid w:val="00FE6DDF"/>
    <w:rsid w:val="00FF6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1D480C99-32DE-430A-B73B-E0646E13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35961</TotalTime>
  <Pages>30</Pages>
  <Words>5903</Words>
  <Characters>33648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2021-12-14T06:28:00Z</dcterms:created>
  <dcterms:modified xsi:type="dcterms:W3CDTF">2022-01-27T00:45:00Z</dcterms:modified>
</cp:coreProperties>
</file>