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Arial" w:cs="Arial" w:eastAsia="Arial" w:hAnsi="Arial"/>
          <w:b/>
          <w:bCs/>
          <w:color w:val="0C1520"/>
          <w:sz w:val="64"/>
          <w:szCs w:val="64"/>
        </w:rPr>
        <w:t xml:space="preserve">JDM Connect</w:t>
      </w:r>
    </w:p>
    <w:p>
      <w:pPr>
        <w:spacing w:after="80" w:before="0"/>
      </w:pPr>
      <w:r>
        <w:rPr>
          <w:rFonts w:ascii="Arial" w:cs="Arial" w:eastAsia="Arial" w:hAnsi="Arial"/>
          <w:i/>
          <w:iCs/>
          <w:color w:val="C9A84C"/>
          <w:sz w:val="28"/>
          <w:szCs w:val="28"/>
        </w:rPr>
        <w:t xml:space="preserve">Bringing Japan's Greatest Cars to Your Driveway</w:t>
      </w:r>
    </w:p>
    <w:p>
      <w:pPr>
        <w:pBdr>
          <w:bottom w:val="single" w:color="C9A84C" w:sz="16" w:space="0"/>
        </w:pBdr>
        <w:spacing w:after="360" w:before="0"/>
      </w:pPr>
      <w:r>
        <w:rPr>
          <w:rFonts w:ascii="Arial" w:cs="Arial" w:eastAsia="Arial" w:hAnsi="Arial"/>
          <w:color w:val="666666"/>
          <w:sz w:val="20"/>
          <w:szCs w:val="20"/>
        </w:rPr>
        <w:t xml:space="preserve">An Introduction for the US Market  —  Prepared for Tugba</w:t>
      </w:r>
    </w:p>
    <w:p>
      <w:pPr>
        <w:spacing w:after="100" w:before="360"/>
      </w:pPr>
      <w:r>
        <w:rPr>
          <w:rFonts w:ascii="Arial" w:cs="Arial" w:eastAsia="Arial" w:hAnsi="Arial"/>
          <w:b/>
          <w:bCs/>
          <w:color w:val="C9A84C"/>
          <w:spacing w:val="40"/>
          <w:sz w:val="18"/>
          <w:szCs w:val="18"/>
        </w:rPr>
        <w:t xml:space="preserve">WHAT IS JDM?</w:t>
      </w:r>
    </w:p>
    <w:p>
      <w:pPr>
        <w:spacing w:after="160" w:before="0"/>
      </w:pPr>
      <w:r>
        <w:rPr>
          <w:rFonts w:ascii="Arial" w:cs="Arial" w:eastAsia="Arial" w:hAnsi="Arial"/>
          <w:b w:val="false"/>
          <w:bCs w:val="false"/>
          <w:color w:val="222222"/>
          <w:sz w:val="22"/>
          <w:szCs w:val="22"/>
        </w:rPr>
        <w:t xml:space="preserve">JDM stands for Japanese Domestic Market — cars built in Japan, for Japan, never officially sold in Australia or the US. These aren't ordinary cars. They're icons.</w:t>
      </w:r>
    </w:p>
    <w:p>
      <w:pPr>
        <w:spacing w:after="160" w:before="0"/>
      </w:pPr>
      <w:r>
        <w:rPr>
          <w:rFonts w:ascii="Arial" w:cs="Arial" w:eastAsia="Arial" w:hAnsi="Arial"/>
          <w:b w:val="false"/>
          <w:bCs w:val="false"/>
          <w:color w:val="222222"/>
          <w:sz w:val="22"/>
          <w:szCs w:val="22"/>
        </w:rPr>
        <w:t xml:space="preserve">Think the Nissan Skyline GT-R. The Toyota Supra. The Mazda RX-7. The Honda NSX. The Mitsubishi Lancer Evolution. Cars made famous by Fast &amp; Furious, Gran Turismo, and decades of motorsport legend — cars you simply can't walk into a dealership and buy.</w:t>
      </w:r>
    </w:p>
    <w:p>
      <w:pPr>
        <w:spacing w:after="160" w:before="0"/>
      </w:pPr>
      <w:r>
        <w:rPr>
          <w:rFonts w:ascii="Arial" w:cs="Arial" w:eastAsia="Arial" w:hAnsi="Arial"/>
          <w:b w:val="false"/>
          <w:bCs w:val="false"/>
          <w:color w:val="222222"/>
          <w:sz w:val="22"/>
          <w:szCs w:val="22"/>
        </w:rPr>
        <w:t xml:space="preserve">JDM cars are obsessed over by enthusiasts worldwide. The craftsmanship, the performance, the rarity — there's nothing else like them.</w:t>
      </w:r>
    </w:p>
    <w:p>
      <w:pPr>
        <w:spacing w:after="160" w:before="0"/>
      </w:pPr>
      <w:r>
        <w:t xml:space="preserve"/>
      </w:r>
    </w:p>
    <w:p>
      <w:pPr>
        <w:spacing w:after="100" w:before="360"/>
      </w:pPr>
      <w:r>
        <w:rPr>
          <w:rFonts w:ascii="Arial" w:cs="Arial" w:eastAsia="Arial" w:hAnsi="Arial"/>
          <w:b/>
          <w:bCs/>
          <w:color w:val="C9A84C"/>
          <w:spacing w:val="40"/>
          <w:sz w:val="18"/>
          <w:szCs w:val="18"/>
        </w:rPr>
        <w:t xml:space="preserve">WHAT JDM CONNECT DOES</w:t>
      </w:r>
    </w:p>
    <w:p>
      <w:pPr>
        <w:spacing w:after="160" w:before="0"/>
      </w:pPr>
      <w:r>
        <w:rPr>
          <w:rFonts w:ascii="Arial" w:cs="Arial" w:eastAsia="Arial" w:hAnsi="Arial"/>
          <w:b w:val="false"/>
          <w:bCs w:val="false"/>
          <w:color w:val="222222"/>
          <w:sz w:val="22"/>
          <w:szCs w:val="22"/>
        </w:rPr>
        <w:t xml:space="preserve">JDM Connect is an end-to-end import service. We handle every single step of getting a JDM car from a Japanese auction house to your front door — fully road-legal and ready to drive.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pPr>
              <w:spacing w:after="40" w:before="0"/>
            </w:pPr>
            <w:r>
              <w:rPr>
                <w:rFonts w:ascii="Arial" w:cs="Arial" w:eastAsia="Arial" w:hAnsi="Arial"/>
                <w:b/>
                <w:bCs/>
                <w:color w:val="0C1520"/>
                <w:sz w:val="22"/>
                <w:szCs w:val="22"/>
              </w:rPr>
              <w:t xml:space="preserve">Source &amp; Bid</w:t>
            </w:r>
          </w:p>
          <w:p>
            <w:pPr>
              <w:spacing w:after="0" w:before="0"/>
            </w:pPr>
            <w:r>
              <w:rPr>
                <w:rFonts w:ascii="Arial" w:cs="Arial" w:eastAsia="Arial" w:hAnsi="Arial"/>
                <w:color w:val="444444"/>
                <w:sz w:val="20"/>
                <w:szCs w:val="20"/>
              </w:rPr>
              <w:t xml:space="preserve">We find your car at Japanese auction, assess its condition using auction grades and inspection reports, and bid on your behalf.</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pPr>
              <w:spacing w:after="40" w:before="0"/>
            </w:pPr>
            <w:r>
              <w:rPr>
                <w:rFonts w:ascii="Arial" w:cs="Arial" w:eastAsia="Arial" w:hAnsi="Arial"/>
                <w:b/>
                <w:bCs/>
                <w:color w:val="0C1520"/>
                <w:sz w:val="22"/>
                <w:szCs w:val="22"/>
              </w:rPr>
              <w:t xml:space="preserve">Buy &amp; Ship</w:t>
            </w:r>
          </w:p>
          <w:p>
            <w:pPr>
              <w:spacing w:after="0" w:before="0"/>
            </w:pPr>
            <w:r>
              <w:rPr>
                <w:rFonts w:ascii="Arial" w:cs="Arial" w:eastAsia="Arial" w:hAnsi="Arial"/>
                <w:color w:val="444444"/>
                <w:sz w:val="20"/>
                <w:szCs w:val="20"/>
              </w:rPr>
              <w:t xml:space="preserve">Once purchased, we arrange shipping from Japan — either RoRo (roll-on/roll-off) or in a container for extra protection.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pPr>
              <w:spacing w:after="40" w:before="0"/>
            </w:pPr>
            <w:r>
              <w:rPr>
                <w:rFonts w:ascii="Arial" w:cs="Arial" w:eastAsia="Arial" w:hAnsi="Arial"/>
                <w:b/>
                <w:bCs/>
                <w:color w:val="0C1520"/>
                <w:sz w:val="22"/>
                <w:szCs w:val="22"/>
              </w:rPr>
              <w:t xml:space="preserve">Compliance</w:t>
            </w:r>
          </w:p>
          <w:p>
            <w:pPr>
              <w:spacing w:after="0" w:before="0"/>
            </w:pPr>
            <w:r>
              <w:rPr>
                <w:rFonts w:ascii="Arial" w:cs="Arial" w:eastAsia="Arial" w:hAnsi="Arial"/>
                <w:color w:val="444444"/>
                <w:sz w:val="20"/>
                <w:szCs w:val="20"/>
              </w:rPr>
              <w:t xml:space="preserve">Every imported vehicle must meet Australian road standards. We handle all compliance work through licensed workshops, so the car is 100% legal.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120"/>
              <w:left w:type="dxa" w:w="0"/>
              <w:bottom w:type="dxa" w:w="120"/>
              <w:right w:type="dxa" w:w="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pPr>
              <w:spacing w:after="40" w:before="0"/>
            </w:pPr>
            <w:r>
              <w:rPr>
                <w:rFonts w:ascii="Arial" w:cs="Arial" w:eastAsia="Arial" w:hAnsi="Arial"/>
                <w:b/>
                <w:bCs/>
                <w:color w:val="0C1520"/>
                <w:sz w:val="22"/>
                <w:szCs w:val="22"/>
              </w:rPr>
              <w:t xml:space="preserve">Deliver</w:t>
            </w:r>
          </w:p>
          <w:p>
            <w:pPr>
              <w:spacing w:after="0" w:before="0"/>
            </w:pPr>
            <w:r>
              <w:rPr>
                <w:rFonts w:ascii="Arial" w:cs="Arial" w:eastAsia="Arial" w:hAnsi="Arial"/>
                <w:color w:val="444444"/>
                <w:sz w:val="20"/>
                <w:szCs w:val="20"/>
              </w:rPr>
              <w:t xml:space="preserve">We register the car and deliver it to your door. Turnkey. No stress. No guesswork.</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9F5EC" w:val="clear"/>
            <w:tcMar>
              <w:top w:type="dxa" w:w="160"/>
              <w:left w:type="dxa" w:w="200"/>
              <w:bottom w:type="dxa" w:w="160"/>
              <w:right w:type="dxa" w:w="200"/>
            </w:tcMar>
            <w:vAlign w:val="center"/>
          </w:tcPr>
          <w:p>
            <w:pPr>
              <w:spacing w:after="60" w:before="0"/>
              <w:jc w:val="center"/>
            </w:pPr>
            <w:r>
              <w:rPr>
                <w:rFonts w:ascii="Arial" w:cs="Arial" w:eastAsia="Arial" w:hAnsi="Arial"/>
                <w:b/>
                <w:bCs/>
                <w:color w:val="C9A84C"/>
                <w:sz w:val="52"/>
                <w:szCs w:val="52"/>
              </w:rPr>
              <w:t xml:space="preserve">12–16</w:t>
            </w:r>
          </w:p>
          <w:p>
            <w:pPr>
              <w:spacing w:after="0" w:before="0"/>
              <w:jc w:val="center"/>
            </w:pPr>
            <w:r>
              <w:rPr>
                <w:rFonts w:ascii="Arial" w:cs="Arial" w:eastAsia="Arial" w:hAnsi="Arial"/>
                <w:color w:val="666666"/>
                <w:sz w:val="18"/>
                <w:szCs w:val="18"/>
              </w:rPr>
              <w:t xml:space="preserve">weeks from purchase to delivery</w:t>
            </w:r>
          </w:p>
        </w:tc>
        <w:tc>
          <w:tcPr>
            <w:tcW w:type="dxa" w:w="3120"/>
            <w:tcBorders>
              <w:top w:val="none" w:color="FFFFFF" w:sz="0"/>
              <w:left w:val="none" w:color="FFFFFF" w:sz="0"/>
              <w:bottom w:val="none" w:color="FFFFFF" w:sz="0"/>
              <w:right w:val="none" w:color="FFFFFF" w:sz="0"/>
            </w:tcBorders>
            <w:shd w:fill="F9F5EC" w:val="clear"/>
            <w:tcMar>
              <w:top w:type="dxa" w:w="160"/>
              <w:left w:type="dxa" w:w="200"/>
              <w:bottom w:type="dxa" w:w="160"/>
              <w:right w:type="dxa" w:w="200"/>
            </w:tcMar>
            <w:vAlign w:val="center"/>
          </w:tcPr>
          <w:p>
            <w:pPr>
              <w:spacing w:after="60" w:before="0"/>
              <w:jc w:val="center"/>
            </w:pPr>
            <w:r>
              <w:rPr>
                <w:rFonts w:ascii="Arial" w:cs="Arial" w:eastAsia="Arial" w:hAnsi="Arial"/>
                <w:b/>
                <w:bCs/>
                <w:color w:val="C9A84C"/>
                <w:sz w:val="52"/>
                <w:szCs w:val="52"/>
              </w:rPr>
              <w:t xml:space="preserve">100%</w:t>
            </w:r>
          </w:p>
          <w:p>
            <w:pPr>
              <w:spacing w:after="0" w:before="0"/>
              <w:jc w:val="center"/>
            </w:pPr>
            <w:r>
              <w:rPr>
                <w:rFonts w:ascii="Arial" w:cs="Arial" w:eastAsia="Arial" w:hAnsi="Arial"/>
                <w:color w:val="666666"/>
                <w:sz w:val="18"/>
                <w:szCs w:val="18"/>
              </w:rPr>
              <w:t xml:space="preserve">road-legal on arrival</w:t>
            </w:r>
          </w:p>
        </w:tc>
        <w:tc>
          <w:tcPr>
            <w:tcW w:type="dxa" w:w="3120"/>
            <w:tcBorders>
              <w:top w:val="none" w:color="FFFFFF" w:sz="0"/>
              <w:left w:val="none" w:color="FFFFFF" w:sz="0"/>
              <w:bottom w:val="none" w:color="FFFFFF" w:sz="0"/>
              <w:right w:val="none" w:color="FFFFFF" w:sz="0"/>
            </w:tcBorders>
            <w:shd w:fill="F9F5EC" w:val="clear"/>
            <w:tcMar>
              <w:top w:type="dxa" w:w="160"/>
              <w:left w:type="dxa" w:w="200"/>
              <w:bottom w:type="dxa" w:w="160"/>
              <w:right w:type="dxa" w:w="200"/>
            </w:tcMar>
            <w:vAlign w:val="center"/>
          </w:tcPr>
          <w:p>
            <w:pPr>
              <w:spacing w:after="60" w:before="0"/>
              <w:jc w:val="center"/>
            </w:pPr>
            <w:r>
              <w:rPr>
                <w:rFonts w:ascii="Arial" w:cs="Arial" w:eastAsia="Arial" w:hAnsi="Arial"/>
                <w:b/>
                <w:bCs/>
                <w:color w:val="C9A84C"/>
                <w:sz w:val="52"/>
                <w:szCs w:val="52"/>
              </w:rPr>
              <w:t xml:space="preserve">1,400+</w:t>
            </w:r>
          </w:p>
          <w:p>
            <w:pPr>
              <w:spacing w:after="0" w:before="0"/>
              <w:jc w:val="center"/>
            </w:pPr>
            <w:r>
              <w:rPr>
                <w:rFonts w:ascii="Arial" w:cs="Arial" w:eastAsia="Arial" w:hAnsi="Arial"/>
                <w:color w:val="666666"/>
                <w:sz w:val="18"/>
                <w:szCs w:val="18"/>
              </w:rPr>
              <w:t xml:space="preserve">approved models on register</w:t>
            </w:r>
          </w:p>
        </w:tc>
      </w:tr>
    </w:tbl>
    <w:p>
      <w:pPr>
        <w:spacing w:after="280" w:before="0"/>
      </w:pPr>
      <w:r>
        <w:t xml:space="preserve"/>
      </w:r>
    </w:p>
    <w:p>
      <w:pPr>
        <w:spacing w:after="100" w:before="360"/>
      </w:pPr>
      <w:r>
        <w:rPr>
          <w:rFonts w:ascii="Arial" w:cs="Arial" w:eastAsia="Arial" w:hAnsi="Arial"/>
          <w:b/>
          <w:bCs/>
          <w:color w:val="C9A84C"/>
          <w:spacing w:val="40"/>
          <w:sz w:val="18"/>
          <w:szCs w:val="18"/>
        </w:rPr>
        <w:t xml:space="preserve">THE US OPPORTUNITY</w:t>
      </w:r>
    </w:p>
    <w:p>
      <w:pPr>
        <w:spacing w:after="160" w:before="0"/>
      </w:pPr>
      <w:r>
        <w:rPr>
          <w:rFonts w:ascii="Arial" w:cs="Arial" w:eastAsia="Arial" w:hAnsi="Arial"/>
          <w:b/>
          <w:bCs/>
          <w:color w:val="0C1520"/>
          <w:sz w:val="22"/>
          <w:szCs w:val="22"/>
        </w:rPr>
        <w:t xml:space="preserve">The United States is the world's biggest JDM market — and it's largely underserved.</w:t>
      </w:r>
    </w:p>
    <w:p>
      <w:pPr>
        <w:spacing w:after="80" w:before="0"/>
      </w:pPr>
      <w:r>
        <w:t xml:space="preserve"/>
      </w:r>
    </w:p>
    <w:p>
      <w:pPr>
        <w:spacing w:after="160" w:before="0"/>
      </w:pPr>
      <w:r>
        <w:rPr>
          <w:rFonts w:ascii="Arial" w:cs="Arial" w:eastAsia="Arial" w:hAnsi="Arial"/>
          <w:b w:val="false"/>
          <w:bCs w:val="false"/>
          <w:color w:val="222222"/>
          <w:sz w:val="22"/>
          <w:szCs w:val="22"/>
        </w:rPr>
        <w:t xml:space="preserve">America has what's known as the 25-Year Rule: any vehicle manufactured more than 25 years ago can be imported to the US with minimal red tape. No need to modify it to meet US safety or emissions standards. As of 2026, that opens the door to cars built before 2001, including:</w:t>
      </w:r>
    </w:p>
    <w:p>
      <w:pPr>
        <w:pStyle w:val="ListParagraph"/>
        <w:numPr>
          <w:ilvl w:val="0"/>
          <w:numId w:val="2"/>
        </w:numPr>
        <w:spacing w:after="60" w:before="60"/>
      </w:pPr>
      <w:r>
        <w:rPr>
          <w:rFonts w:ascii="Arial" w:cs="Arial" w:eastAsia="Arial" w:hAnsi="Arial"/>
          <w:b w:val="false"/>
          <w:bCs w:val="false"/>
          <w:color w:val="222222"/>
          <w:sz w:val="22"/>
          <w:szCs w:val="22"/>
        </w:rPr>
        <w:t xml:space="preserve">Nissan Skyline GT-R R34 (1999–2002) — just became eligible, caused a buying frenzy</w:t>
      </w:r>
    </w:p>
    <w:p>
      <w:pPr>
        <w:pStyle w:val="ListParagraph"/>
        <w:numPr>
          <w:ilvl w:val="0"/>
          <w:numId w:val="2"/>
        </w:numPr>
        <w:spacing w:after="60" w:before="60"/>
      </w:pPr>
      <w:r>
        <w:rPr>
          <w:rFonts w:ascii="Arial" w:cs="Arial" w:eastAsia="Arial" w:hAnsi="Arial"/>
          <w:b w:val="false"/>
          <w:bCs w:val="false"/>
          <w:color w:val="222222"/>
          <w:sz w:val="22"/>
          <w:szCs w:val="22"/>
        </w:rPr>
        <w:t xml:space="preserve">Toyota Supra A80 (1993–2002) — one of the most wanted cars in America</w:t>
      </w:r>
    </w:p>
    <w:p>
      <w:pPr>
        <w:pStyle w:val="ListParagraph"/>
        <w:numPr>
          <w:ilvl w:val="0"/>
          <w:numId w:val="2"/>
        </w:numPr>
        <w:spacing w:after="60" w:before="60"/>
      </w:pPr>
      <w:r>
        <w:rPr>
          <w:rFonts w:ascii="Arial" w:cs="Arial" w:eastAsia="Arial" w:hAnsi="Arial"/>
          <w:b w:val="false"/>
          <w:bCs w:val="false"/>
          <w:color w:val="222222"/>
          <w:sz w:val="22"/>
          <w:szCs w:val="22"/>
        </w:rPr>
        <w:t xml:space="preserve">Honda NSX (1990–2005) — Japanese Ferrari, legendary status</w:t>
      </w:r>
    </w:p>
    <w:p>
      <w:pPr>
        <w:pStyle w:val="ListParagraph"/>
        <w:numPr>
          <w:ilvl w:val="0"/>
          <w:numId w:val="2"/>
        </w:numPr>
        <w:spacing w:after="60" w:before="60"/>
      </w:pPr>
      <w:r>
        <w:rPr>
          <w:rFonts w:ascii="Arial" w:cs="Arial" w:eastAsia="Arial" w:hAnsi="Arial"/>
          <w:b w:val="false"/>
          <w:bCs w:val="false"/>
          <w:color w:val="222222"/>
          <w:sz w:val="22"/>
          <w:szCs w:val="22"/>
        </w:rPr>
        <w:t xml:space="preserve">Mazda RX-7 FD (1992–2002) — rotary icon, huge following</w:t>
      </w:r>
    </w:p>
    <w:p>
      <w:pPr>
        <w:pStyle w:val="ListParagraph"/>
        <w:numPr>
          <w:ilvl w:val="0"/>
          <w:numId w:val="2"/>
        </w:numPr>
        <w:spacing w:after="60" w:before="60"/>
      </w:pPr>
      <w:r>
        <w:rPr>
          <w:rFonts w:ascii="Arial" w:cs="Arial" w:eastAsia="Arial" w:hAnsi="Arial"/>
          <w:b w:val="false"/>
          <w:bCs w:val="false"/>
          <w:color w:val="222222"/>
          <w:sz w:val="22"/>
          <w:szCs w:val="22"/>
        </w:rPr>
        <w:t xml:space="preserve">Mitsubishi Lancer Evolution IV–VI (1996–1999) — rally legend</w:t>
      </w:r>
    </w:p>
    <w:p>
      <w:pPr>
        <w:pStyle w:val="ListParagraph"/>
        <w:numPr>
          <w:ilvl w:val="0"/>
          <w:numId w:val="2"/>
        </w:numPr>
        <w:spacing w:after="60" w:before="60"/>
      </w:pPr>
      <w:r>
        <w:rPr>
          <w:rFonts w:ascii="Arial" w:cs="Arial" w:eastAsia="Arial" w:hAnsi="Arial"/>
          <w:b w:val="false"/>
          <w:bCs w:val="false"/>
          <w:color w:val="222222"/>
          <w:sz w:val="22"/>
          <w:szCs w:val="22"/>
        </w:rPr>
        <w:t xml:space="preserve">Nissan Silvia S15 (1999–2002) — drift community favourite</w:t>
      </w:r>
    </w:p>
    <w:p>
      <w:pPr>
        <w:spacing w:after="80" w:before="0"/>
      </w:pPr>
      <w:r>
        <w:t xml:space="preserve"/>
      </w:r>
    </w:p>
    <w:p>
      <w:pPr>
        <w:spacing w:after="160" w:before="0"/>
      </w:pPr>
      <w:r>
        <w:rPr>
          <w:rFonts w:ascii="Arial" w:cs="Arial" w:eastAsia="Arial" w:hAnsi="Arial"/>
          <w:b w:val="false"/>
          <w:bCs w:val="false"/>
          <w:color w:val="222222"/>
          <w:sz w:val="22"/>
          <w:szCs w:val="22"/>
        </w:rPr>
        <w:t xml:space="preserve">Every year, more cars age into eligibility. The pool only grows.</w:t>
      </w:r>
    </w:p>
    <w:p>
      <w:pPr>
        <w:spacing w:after="160" w:before="0"/>
      </w:pPr>
      <w:r>
        <w:rPr>
          <w:rFonts w:ascii="Arial" w:cs="Arial" w:eastAsia="Arial" w:hAnsi="Arial"/>
          <w:b w:val="false"/>
          <w:bCs w:val="false"/>
          <w:color w:val="222222"/>
          <w:sz w:val="22"/>
          <w:szCs w:val="22"/>
        </w:rPr>
        <w:t xml:space="preserve">The demand in the US is enormous — forums, YouTube channels, and Facebook groups have hundreds of thousands of followers obsessing over these cars. But there is no well-organised, end-to-end import broker doing what JDM Connect does. Most Americans who want a JDM car either give up or piece it together themselves at great cost and stress.</w:t>
      </w:r>
    </w:p>
    <w:p>
      <w:pPr>
        <w:spacing w:after="160" w:before="0"/>
      </w:pPr>
      <w:r>
        <w:rPr>
          <w:rFonts w:ascii="Arial" w:cs="Arial" w:eastAsia="Arial" w:hAnsi="Arial"/>
          <w:b w:val="false"/>
          <w:bCs w:val="false"/>
          <w:color w:val="222222"/>
          <w:sz w:val="22"/>
          <w:szCs w:val="22"/>
        </w:rPr>
        <w:t xml:space="preserve">That is the gap.</w:t>
      </w:r>
    </w:p>
    <w:p>
      <w:pPr>
        <w:spacing w:after="200" w:before="0"/>
      </w:pPr>
      <w:r>
        <w:t xml:space="preserve"/>
      </w:r>
    </w:p>
    <w:p>
      <w:pPr>
        <w:spacing w:after="100" w:before="360"/>
      </w:pPr>
      <w:r>
        <w:rPr>
          <w:rFonts w:ascii="Arial" w:cs="Arial" w:eastAsia="Arial" w:hAnsi="Arial"/>
          <w:b/>
          <w:bCs/>
          <w:color w:val="C9A84C"/>
          <w:spacing w:val="40"/>
          <w:sz w:val="18"/>
          <w:szCs w:val="18"/>
        </w:rPr>
        <w:t xml:space="preserve">HOW A US PARTNERSHIP COULD WORK</w:t>
      </w:r>
    </w:p>
    <w:p>
      <w:pPr>
        <w:spacing w:after="160" w:before="0"/>
      </w:pPr>
      <w:r>
        <w:rPr>
          <w:rFonts w:ascii="Arial" w:cs="Arial" w:eastAsia="Arial" w:hAnsi="Arial"/>
          <w:b w:val="false"/>
          <w:bCs w:val="false"/>
          <w:color w:val="222222"/>
          <w:sz w:val="22"/>
          <w:szCs w:val="22"/>
        </w:rPr>
        <w:t xml:space="preserve">JDM Connect already has the sourcing, shipping, and compliance pipeline in place from Japan. Expanding to the US would mean partnering with someone on the ground who can: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ECE0" w:val="clear"/>
            <w:tcMar>
              <w:top w:type="dxa" w:w="100"/>
              <w:left w:type="dxa" w:w="160"/>
              <w:bottom w:type="dxa" w:w="100"/>
              <w:right w:type="dxa" w:w="160"/>
            </w:tcMar>
          </w:tcPr>
          <w:p>
            <w:r>
              <w:rPr>
                <w:rFonts w:ascii="Arial" w:cs="Arial" w:eastAsia="Arial" w:hAnsi="Arial"/>
                <w:b/>
                <w:bCs/>
                <w:color w:val="555555"/>
                <w:sz w:val="20"/>
                <w:szCs w:val="20"/>
              </w:rPr>
              <w:t xml:space="preserve">Local Partner Role</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Build relationships with US compliance workshops and registered importers (RIs) who handle the final paperwork for US customers</w:t>
            </w:r>
          </w:p>
        </w:tc>
      </w:tr>
      <w:tr>
        <w:tc>
          <w:tcPr>
            <w:tcW w:type="dxa" w:w="3200"/>
            <w:tcBorders>
              <w:top w:val="single" w:color="DDDDDD" w:sz="1"/>
              <w:left w:val="single" w:color="DDDDDD" w:sz="1"/>
              <w:bottom w:val="single" w:color="DDDDDD" w:sz="1"/>
              <w:right w:val="single" w:color="DDDDDD" w:sz="1"/>
            </w:tcBorders>
            <w:shd w:fill="F7F4EC" w:val="clear"/>
            <w:tcMar>
              <w:top w:type="dxa" w:w="100"/>
              <w:left w:type="dxa" w:w="160"/>
              <w:bottom w:type="dxa" w:w="100"/>
              <w:right w:type="dxa" w:w="160"/>
            </w:tcMar>
          </w:tcPr>
          <w:p>
            <w:r>
              <w:rPr>
                <w:rFonts w:ascii="Arial" w:cs="Arial" w:eastAsia="Arial" w:hAnsi="Arial"/>
                <w:b/>
                <w:bCs/>
                <w:color w:val="555555"/>
                <w:sz w:val="20"/>
                <w:szCs w:val="20"/>
              </w:rPr>
              <w:t xml:space="preserve">Customer Facing</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Be the first point of contact for American buyers — take enquiries, explain the process, manage expectations</w:t>
            </w:r>
          </w:p>
        </w:tc>
      </w:tr>
      <w:tr>
        <w:tc>
          <w:tcPr>
            <w:tcW w:type="dxa" w:w="3200"/>
            <w:tcBorders>
              <w:top w:val="single" w:color="DDDDDD" w:sz="1"/>
              <w:left w:val="single" w:color="DDDDDD" w:sz="1"/>
              <w:bottom w:val="single" w:color="DDDDDD" w:sz="1"/>
              <w:right w:val="single" w:color="DDDDDD" w:sz="1"/>
            </w:tcBorders>
            <w:shd w:fill="F0ECE0" w:val="clear"/>
            <w:tcMar>
              <w:top w:type="dxa" w:w="100"/>
              <w:left w:type="dxa" w:w="160"/>
              <w:bottom w:type="dxa" w:w="100"/>
              <w:right w:type="dxa" w:w="160"/>
            </w:tcMar>
          </w:tcPr>
          <w:p>
            <w:r>
              <w:rPr>
                <w:rFonts w:ascii="Arial" w:cs="Arial" w:eastAsia="Arial" w:hAnsi="Arial"/>
                <w:b/>
                <w:bCs/>
                <w:color w:val="555555"/>
                <w:sz w:val="20"/>
                <w:szCs w:val="20"/>
              </w:rPr>
              <w:t xml:space="preserve">Marketing</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Grow the US audience through social media, JDM forums, car shows, and enthusiast communities</w:t>
            </w:r>
          </w:p>
        </w:tc>
      </w:tr>
      <w:tr>
        <w:tc>
          <w:tcPr>
            <w:tcW w:type="dxa" w:w="3200"/>
            <w:tcBorders>
              <w:top w:val="single" w:color="DDDDDD" w:sz="1"/>
              <w:left w:val="single" w:color="DDDDDD" w:sz="1"/>
              <w:bottom w:val="single" w:color="DDDDDD" w:sz="1"/>
              <w:right w:val="single" w:color="DDDDDD" w:sz="1"/>
            </w:tcBorders>
            <w:shd w:fill="F7F4EC" w:val="clear"/>
            <w:tcMar>
              <w:top w:type="dxa" w:w="100"/>
              <w:left w:type="dxa" w:w="160"/>
              <w:bottom w:type="dxa" w:w="100"/>
              <w:right w:type="dxa" w:w="160"/>
            </w:tcMar>
          </w:tcPr>
          <w:p>
            <w:r>
              <w:rPr>
                <w:rFonts w:ascii="Arial" w:cs="Arial" w:eastAsia="Arial" w:hAnsi="Arial"/>
                <w:b/>
                <w:bCs/>
                <w:color w:val="555555"/>
                <w:sz w:val="20"/>
                <w:szCs w:val="20"/>
              </w:rPr>
              <w:t xml:space="preserve">Logistics Coordination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Coordinate delivery from the US port to the customer once the vehicle clears customs</w:t>
            </w:r>
          </w:p>
        </w:tc>
      </w:tr>
      <w:tr>
        <w:tc>
          <w:tcPr>
            <w:tcW w:type="dxa" w:w="3200"/>
            <w:tcBorders>
              <w:top w:val="single" w:color="DDDDDD" w:sz="1"/>
              <w:left w:val="single" w:color="DDDDDD" w:sz="1"/>
              <w:bottom w:val="single" w:color="DDDDDD" w:sz="1"/>
              <w:right w:val="single" w:color="DDDDDD" w:sz="1"/>
            </w:tcBorders>
            <w:shd w:fill="F0ECE0" w:val="clear"/>
            <w:tcMar>
              <w:top w:type="dxa" w:w="100"/>
              <w:left w:type="dxa" w:w="160"/>
              <w:bottom w:type="dxa" w:w="100"/>
              <w:right w:type="dxa" w:w="160"/>
            </w:tcMar>
          </w:tcPr>
          <w:p>
            <w:r>
              <w:rPr>
                <w:rFonts w:ascii="Arial" w:cs="Arial" w:eastAsia="Arial" w:hAnsi="Arial"/>
                <w:b/>
                <w:bCs/>
                <w:color w:val="555555"/>
                <w:sz w:val="20"/>
                <w:szCs w:val="20"/>
              </w:rPr>
              <w:t xml:space="preserve">Revenue Share</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Earn a commission on every successfully delivered vehicle</w:t>
            </w:r>
          </w:p>
        </w:tc>
      </w:tr>
    </w:tbl>
    <w:p>
      <w:pPr>
        <w:spacing w:after="200" w:before="0"/>
      </w:pPr>
      <w:r>
        <w:t xml:space="preserve"/>
      </w:r>
    </w:p>
    <w:p>
      <w:pPr>
        <w:spacing w:after="100" w:before="360"/>
      </w:pPr>
      <w:r>
        <w:rPr>
          <w:rFonts w:ascii="Arial" w:cs="Arial" w:eastAsia="Arial" w:hAnsi="Arial"/>
          <w:b/>
          <w:bCs/>
          <w:color w:val="C9A84C"/>
          <w:spacing w:val="40"/>
          <w:sz w:val="18"/>
          <w:szCs w:val="18"/>
        </w:rPr>
        <w:t xml:space="preserve">US VS AUSTRALIA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ECE0" w:val="clear"/>
            <w:tcMar>
              <w:top w:type="dxa" w:w="100"/>
              <w:left w:type="dxa" w:w="160"/>
              <w:bottom w:type="dxa" w:w="100"/>
              <w:right w:type="dxa" w:w="160"/>
            </w:tcMar>
          </w:tcPr>
          <w:p>
            <w:r>
              <w:rPr>
                <w:rFonts w:ascii="Arial" w:cs="Arial" w:eastAsia="Arial" w:hAnsi="Arial"/>
                <w:b/>
                <w:bCs/>
                <w:color w:val="555555"/>
                <w:sz w:val="20"/>
                <w:szCs w:val="20"/>
              </w:rPr>
              <w:t xml:space="preserve">Import Rule</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Australia: SEVS/MRE register system. USA: 25-year rule (vehicles 25+ years old)</w:t>
            </w:r>
          </w:p>
        </w:tc>
      </w:tr>
      <w:tr>
        <w:tc>
          <w:tcPr>
            <w:tcW w:type="dxa" w:w="3200"/>
            <w:tcBorders>
              <w:top w:val="single" w:color="DDDDDD" w:sz="1"/>
              <w:left w:val="single" w:color="DDDDDD" w:sz="1"/>
              <w:bottom w:val="single" w:color="DDDDDD" w:sz="1"/>
              <w:right w:val="single" w:color="DDDDDD" w:sz="1"/>
            </w:tcBorders>
            <w:shd w:fill="F7F4EC" w:val="clear"/>
            <w:tcMar>
              <w:top w:type="dxa" w:w="100"/>
              <w:left w:type="dxa" w:w="160"/>
              <w:bottom w:type="dxa" w:w="100"/>
              <w:right w:type="dxa" w:w="160"/>
            </w:tcMar>
          </w:tcPr>
          <w:p>
            <w:r>
              <w:rPr>
                <w:rFonts w:ascii="Arial" w:cs="Arial" w:eastAsia="Arial" w:hAnsi="Arial"/>
                <w:b/>
                <w:bCs/>
                <w:color w:val="555555"/>
                <w:sz w:val="20"/>
                <w:szCs w:val="20"/>
              </w:rPr>
              <w:t xml:space="preserve">Eligible Cars (2026)</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Both markets: pre-2001 JDM classics. Australia also allows some newer vehicles via SEVS</w:t>
            </w:r>
          </w:p>
        </w:tc>
      </w:tr>
      <w:tr>
        <w:tc>
          <w:tcPr>
            <w:tcW w:type="dxa" w:w="3200"/>
            <w:tcBorders>
              <w:top w:val="single" w:color="DDDDDD" w:sz="1"/>
              <w:left w:val="single" w:color="DDDDDD" w:sz="1"/>
              <w:bottom w:val="single" w:color="DDDDDD" w:sz="1"/>
              <w:right w:val="single" w:color="DDDDDD" w:sz="1"/>
            </w:tcBorders>
            <w:shd w:fill="F0ECE0" w:val="clear"/>
            <w:tcMar>
              <w:top w:type="dxa" w:w="100"/>
              <w:left w:type="dxa" w:w="160"/>
              <w:bottom w:type="dxa" w:w="100"/>
              <w:right w:type="dxa" w:w="160"/>
            </w:tcMar>
          </w:tcPr>
          <w:p>
            <w:r>
              <w:rPr>
                <w:rFonts w:ascii="Arial" w:cs="Arial" w:eastAsia="Arial" w:hAnsi="Arial"/>
                <w:b/>
                <w:bCs/>
                <w:color w:val="555555"/>
                <w:sz w:val="20"/>
                <w:szCs w:val="20"/>
              </w:rPr>
              <w:t xml:space="preserve">Compliance Cost</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USA: typically lower for 25-year rule vehicles (no ADR modification required). Australia: RAW compliance ~$3,000–$8,000+</w:t>
            </w:r>
          </w:p>
        </w:tc>
      </w:tr>
      <w:tr>
        <w:tc>
          <w:tcPr>
            <w:tcW w:type="dxa" w:w="3200"/>
            <w:tcBorders>
              <w:top w:val="single" w:color="DDDDDD" w:sz="1"/>
              <w:left w:val="single" w:color="DDDDDD" w:sz="1"/>
              <w:bottom w:val="single" w:color="DDDDDD" w:sz="1"/>
              <w:right w:val="single" w:color="DDDDDD" w:sz="1"/>
            </w:tcBorders>
            <w:shd w:fill="F7F4EC" w:val="clear"/>
            <w:tcMar>
              <w:top w:type="dxa" w:w="100"/>
              <w:left w:type="dxa" w:w="160"/>
              <w:bottom w:type="dxa" w:w="100"/>
              <w:right w:type="dxa" w:w="160"/>
            </w:tcMar>
          </w:tcPr>
          <w:p>
            <w:r>
              <w:rPr>
                <w:rFonts w:ascii="Arial" w:cs="Arial" w:eastAsia="Arial" w:hAnsi="Arial"/>
                <w:b/>
                <w:bCs/>
                <w:color w:val="555555"/>
                <w:sz w:val="20"/>
                <w:szCs w:val="20"/>
              </w:rPr>
              <w:t xml:space="preserve">Market Size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USA: ~330 million people, massive enthusiast community. Australia: ~26 million</w:t>
            </w:r>
          </w:p>
        </w:tc>
      </w:tr>
      <w:tr>
        <w:tc>
          <w:tcPr>
            <w:tcW w:type="dxa" w:w="3200"/>
            <w:tcBorders>
              <w:top w:val="single" w:color="DDDDDD" w:sz="1"/>
              <w:left w:val="single" w:color="DDDDDD" w:sz="1"/>
              <w:bottom w:val="single" w:color="DDDDDD" w:sz="1"/>
              <w:right w:val="single" w:color="DDDDDD" w:sz="1"/>
            </w:tcBorders>
            <w:shd w:fill="F0ECE0" w:val="clear"/>
            <w:tcMar>
              <w:top w:type="dxa" w:w="100"/>
              <w:left w:type="dxa" w:w="160"/>
              <w:bottom w:type="dxa" w:w="100"/>
              <w:right w:type="dxa" w:w="160"/>
            </w:tcMar>
          </w:tcPr>
          <w:p>
            <w:r>
              <w:rPr>
                <w:rFonts w:ascii="Arial" w:cs="Arial" w:eastAsia="Arial" w:hAnsi="Arial"/>
                <w:b/>
                <w:bCs/>
                <w:color w:val="555555"/>
                <w:sz w:val="20"/>
                <w:szCs w:val="20"/>
              </w:rPr>
              <w:t xml:space="preserve">Competition</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11111"/>
                <w:sz w:val="20"/>
                <w:szCs w:val="20"/>
              </w:rPr>
              <w:t xml:space="preserve">Australia: several established importers. USA: fragmented, no dominant end-to-end service</w:t>
            </w:r>
          </w:p>
        </w:tc>
      </w:tr>
      <w:tr>
        <w:tc>
          <w:tcPr>
            <w:tcW w:type="dxa" w:w="3200"/>
            <w:tcBorders>
              <w:top w:val="single" w:color="DDDDDD" w:sz="1"/>
              <w:left w:val="single" w:color="DDDDDD" w:sz="1"/>
              <w:bottom w:val="single" w:color="DDDDDD" w:sz="1"/>
              <w:right w:val="single" w:color="DDDDDD" w:sz="1"/>
            </w:tcBorders>
            <w:shd w:fill="F7F4EC" w:val="clear"/>
            <w:tcMar>
              <w:top w:type="dxa" w:w="100"/>
              <w:left w:type="dxa" w:w="160"/>
              <w:bottom w:type="dxa" w:w="100"/>
              <w:right w:type="dxa" w:w="160"/>
            </w:tcMar>
          </w:tcPr>
          <w:p>
            <w:r>
              <w:rPr>
                <w:rFonts w:ascii="Arial" w:cs="Arial" w:eastAsia="Arial" w:hAnsi="Arial"/>
                <w:b/>
                <w:bCs/>
                <w:color w:val="555555"/>
                <w:sz w:val="20"/>
                <w:szCs w:val="20"/>
              </w:rPr>
              <w:t xml:space="preserve">Potential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11111"/>
                <w:sz w:val="20"/>
                <w:szCs w:val="20"/>
              </w:rPr>
              <w:t xml:space="preserve">USA is the bigger long-term prize — higher volume, higher willingness to pay for premium cars</w:t>
            </w:r>
          </w:p>
        </w:tc>
      </w:tr>
    </w:tbl>
    <w:p>
      <w:pP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1520" w:val="clear"/>
            <w:tcMar>
              <w:top w:type="dxa" w:w="280"/>
              <w:left w:type="dxa" w:w="400"/>
              <w:bottom w:type="dxa" w:w="280"/>
              <w:right w:type="dxa" w:w="400"/>
            </w:tcMar>
          </w:tcPr>
          <w:p>
            <w:pPr>
              <w:spacing w:after="100" w:before="0"/>
              <w:jc w:val="center"/>
            </w:pPr>
            <w:r>
              <w:rPr>
                <w:rFonts w:ascii="Arial" w:cs="Arial" w:eastAsia="Arial" w:hAnsi="Arial"/>
                <w:b/>
                <w:bCs/>
                <w:color w:val="C9A84C"/>
                <w:sz w:val="28"/>
                <w:szCs w:val="28"/>
              </w:rPr>
              <w:t xml:space="preserve">Interested in being part of JDM Connect US?</w:t>
            </w:r>
          </w:p>
          <w:p>
            <w:pPr>
              <w:spacing w:after="100" w:before="0"/>
              <w:jc w:val="center"/>
            </w:pPr>
            <w:r>
              <w:rPr>
                <w:rFonts w:ascii="Arial" w:cs="Arial" w:eastAsia="Arial" w:hAnsi="Arial"/>
                <w:color w:val="CCCCCC"/>
                <w:sz w:val="22"/>
                <w:szCs w:val="22"/>
              </w:rPr>
              <w:t xml:space="preserve">Let's have a conversation. We'd love to explore what this could look like together.</w:t>
            </w:r>
          </w:p>
          <w:p>
            <w:pPr>
              <w:spacing w:after="0" w:before="0"/>
              <w:jc w:val="center"/>
            </w:pPr>
            <w:r>
              <w:rPr>
                <w:rFonts w:ascii="Arial" w:cs="Arial" w:eastAsia="Arial" w:hAnsi="Arial"/>
                <w:color w:val="999999"/>
                <w:sz w:val="20"/>
                <w:szCs w:val="20"/>
              </w:rPr>
              <w:t xml:space="preserve">jdmconnect.com.au  |  Jate Curtis, Founder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0"/>
    </w:pPr>
    <w:r>
      <w:rPr>
        <w:rFonts w:ascii="Arial" w:cs="Arial" w:eastAsia="Arial" w:hAnsi="Arial"/>
        <w:color w:val="999999"/>
        <w:sz w:val="18"/>
        <w:szCs w:val="18"/>
      </w:rPr>
      <w:t xml:space="preserve">jdmconnect.com.au</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8" w:space="4"/>
      </w:pBdr>
      <w:tabs>
        <w:tab w:val="right" w:pos="9026"/>
      </w:tabs>
      <w:spacing w:after="0" w:before="0"/>
    </w:pPr>
    <w:r>
      <w:rPr>
        <w:rFonts w:ascii="Arial" w:cs="Arial" w:eastAsia="Arial" w:hAnsi="Arial"/>
        <w:b/>
        <w:bCs/>
        <w:color w:val="0C1520"/>
        <w:sz w:val="20"/>
        <w:szCs w:val="20"/>
      </w:rPr>
      <w:t xml:space="preserve">JDM Connect</w:t>
    </w:r>
    <w:r>
      <w:rPr>
        <w:rFonts w:ascii="Arial" w:cs="Arial" w:eastAsia="Arial" w:hAnsi="Arial"/>
        <w:color w:val="999999"/>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2026-03-25T00:48:03.397Z</dcterms:created>
  <dcterms:modified xsi:type="dcterms:W3CDTF">2026-03-25T00:48:03.397Z</dcterms:modified>
</cp:coreProperties>
</file>

<file path=docProps/custom.xml><?xml version="1.0" encoding="utf-8"?>
<Properties xmlns="http://schemas.openxmlformats.org/officeDocument/2006/custom-properties" xmlns:vt="http://schemas.openxmlformats.org/officeDocument/2006/docPropsVTypes"/>
</file>