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color w:val="17365D"/>
          <w:sz w:val="44"/>
        </w:rPr>
        <w:t>Tájékoztatás visszaélés-bejelentés kivizsgálásának eredményéről</w:t>
      </w:r>
    </w:p>
    <w:p>
      <w:pPr>
        <w:spacing w:after="280"/>
      </w:pPr>
      <w:r>
        <w:rPr>
          <w:rFonts w:ascii="Arial" w:hAnsi="Arial"/>
          <w:color w:val="595959"/>
          <w:sz w:val="22"/>
        </w:rPr>
        <w:t>Bejelentőnek szóló eredménytájékoztatási tervezet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Szervezet</w:t>
              <w:br/>
              <w:t>{{company.legal_name}}</w:t>
            </w:r>
          </w:p>
        </w:tc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Verzió</w:t>
              <w:br/>
              <w:t>{{document.version}}</w:t>
            </w:r>
          </w:p>
        </w:tc>
      </w:tr>
      <w:tr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Hatálybalépés</w:t>
              <w:br/>
              <w:t>{{document.effective_date}}</w:t>
            </w:r>
          </w:p>
        </w:tc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Dokumentumgazda</w:t>
              <w:br/>
              <w:t>{{document.owner_name}}</w:t>
            </w:r>
          </w:p>
        </w:tc>
      </w:tr>
      <w:tr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Jóváhagyó</w:t>
              <w:br/>
              <w:t>{{document.approved_by}}</w:t>
            </w:r>
          </w:p>
        </w:tc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Felülvizsgálat</w:t>
              <w:br/>
              <w:t>{{document.review_date}}</w:t>
            </w:r>
          </w:p>
        </w:tc>
      </w:tr>
    </w:tbl>
    <w:p/>
    <w:p>
      <w:pPr>
        <w:pStyle w:val="Heading1"/>
      </w:pPr>
      <w:r>
        <w:t>1. Hivatkozás</w:t>
      </w:r>
    </w:p>
    <w:p>
      <w:r>
        <w:t>Bejelentés azonosítója: {{whistleblowing.report_reference}}.</w:t>
      </w:r>
    </w:p>
    <w:p>
      <w:pPr>
        <w:pStyle w:val="Heading1"/>
      </w:pPr>
      <w:r>
        <w:t>2. Eredmény</w:t>
      </w:r>
    </w:p>
    <w:p>
      <w:r>
        <w:t>{{whistleblowing.outcome_summary}}</w:t>
      </w:r>
    </w:p>
    <w:p>
      <w:pPr>
        <w:pStyle w:val="Heading1"/>
      </w:pPr>
      <w:r>
        <w:t>3. Intézkedések</w:t>
      </w:r>
    </w:p>
    <w:p>
      <w:r>
        <w:t>{{whistleblowing.measures_summary}}</w:t>
      </w:r>
    </w:p>
    <w:p>
      <w:pPr>
        <w:pStyle w:val="Heading1"/>
      </w:pPr>
      <w:r>
        <w:t>4. Jogi felülvizsgálat</w:t>
      </w:r>
    </w:p>
    <w:p>
      <w:r>
        <w:t>A végleges tájékoztatást az ügy tényeihez, a titoktartási korlátokhoz és az alkalmazandó eljárási szabályokhoz kell igazítani.</w:t>
      </w:r>
    </w:p>
    <w:p>
      <w:pPr>
        <w:pStyle w:val="Heading1"/>
      </w:pPr>
      <w:r>
        <w:t>Jóváhagyás</w:t>
      </w:r>
    </w:p>
    <w:p>
      <w:r>
        <w:t>Jóváhagyó: {{document.approved_by}}</w:t>
        <w:br/>
        <w:t>Dátum: {{document.effective_date}}</w:t>
        <w:br/>
        <w:t>Aláírás: 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 xml:space="preserve">LEGAL_REVIEW_REQUIRED | Belső használatra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ADMINICULUM | JOGI FELÜLVIZSGÁLATI TERVEZET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