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LETÉTI IGAZOLÁS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{{ugyvedi_iroda_neve}} (székhely: {{ugyvedi_iroda_szekhelye}}, KASZ: {{ugyved_kasz}}) letéteményes képviseletében {{ugyved_nev}} ügyvéd igazolom, hogy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{{elado_nev}} (születési név: {{elado_nev}}, anyja neve: {{elado_anya_neve}}, lakcím: {{elado_lakcim}}, születési hely, idő: {{elado_szul_hely}}, {{elado_szul_ido}}, személyi azonosító jele: {{elado_szemelyi_szam}}, személyi igazolvány száma: {{elado_szemelyi_ig}}, adóazonosító jele: {{elado_adoazonosito_jel}}, állampolgársága: {{elado_allampolgarsag}}), mint Eladó,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felek között {{adasveteli_szerzodes_datuma}} napján létrejött ingatlan adásvételi szerződés {{leteti_hivatkozas_pontja}} pontjában írtaknak megfelelően {{bejegyzesi_engedely_peldanyszam}} egymással mindenben megegyező példányban ügyvéd által ellenjegyzett Bejegyzési engedélyt helyezett ügyvédi letétbe a {{ugyvedi_iroda_neve}}-nál, amelyben visszavonhatatlan hozzájárulását adta ahhoz, hogy az ingatlan-nyilvántartásban a {{kormanyhivatal}} által vezetett {{ingatlan_telepules}} {{ingatlan_fekves}} {{ingatlan_helyrajzi_szam}} hrsz. alatt nyilvántartott, {{ingatlan_iranyitoszam}} {{ingatlan_telepules}}, {{ingatlan_utca}} {{ingatlan_hazszam}} {{ingatlan_emelet_ajto}} szám alatt található, {{ingatlan_alapterulet}} m² területű „{{ingatlan_tipus_neve}}” megnevezésű ingatlan tárgyában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{{vevo_nev}} (születési név: {{vevo_nev}},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mint Vevők tulajdonjoga {{vevo1_tulajdoni_hanyad}} – {{vevo2_tulajdoni_hanyad}} arányban adásvétel jogcímén bejegyzésre kerüljön az ingatlan-nyilvántartásba.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Bejegyzési engedélyt a letétkezelő ügyvéd azt követően jogosult, illetve köteles a Vevők részére kiadni és az illetékes földhivatalhoz benyújtani, hogy a Vevők az Ingatlan teljes vételárát a szerződés rendelkezéseinek megfelelően az Eladó részére maradéktalanul megfizették, és a vételár megfizetését bármelyik fél a letétkezelő ügyvéd részére igazolta. A letétkezelő ügyvéd a teljes vételár megfizetésének igazolását követő {{bejegyzesi_engedely_benyujtasi_hatarido_nap}} napon belül köteles a Bejegyzési engedélyt az illetékes földhivatalhoz vagy az E-ING rendszeren keresztül benyújtani.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{{ugyvedi_iroda_neve}}</w:t>
        <w:br/>
        <w:t>Letéteményes</w:t>
        <w:br/>
        <w:t>{{ugyved_nev}} ügyvéd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