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/>
          <w:color w:val="17365D"/>
          <w:sz w:val="44"/>
        </w:rPr>
        <w:t>Belső visszaélés-bejelentési eljárásrend</w:t>
      </w:r>
    </w:p>
    <w:p>
      <w:pPr>
        <w:spacing w:after="280"/>
      </w:pPr>
      <w:r>
        <w:rPr>
          <w:rFonts w:ascii="Arial" w:hAnsi="Arial"/>
          <w:color w:val="595959"/>
          <w:sz w:val="22"/>
        </w:rPr>
        <w:t>Foglalkoztatói működési tervezet - jogi felülvizsgálat szükséges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Szervezet</w:t>
              <w:br/>
              <w:t>{{company.legal_name}}</w:t>
            </w:r>
          </w:p>
        </w:tc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Verzió</w:t>
              <w:br/>
              <w:t>{{document.version}}</w:t>
            </w:r>
          </w:p>
        </w:tc>
      </w:tr>
      <w:tr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Hatálybalépés</w:t>
              <w:br/>
              <w:t>{{document.effective_date}}</w:t>
            </w:r>
          </w:p>
        </w:tc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Dokumentumgazda</w:t>
              <w:br/>
              <w:t>{{document.owner_name}}</w:t>
            </w:r>
          </w:p>
        </w:tc>
      </w:tr>
      <w:tr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Jóváhagyó</w:t>
              <w:br/>
              <w:t>{{document.approved_by}}</w:t>
            </w:r>
          </w:p>
        </w:tc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Felülvizsgálat</w:t>
              <w:br/>
              <w:t>{{document.review_date}}</w:t>
            </w:r>
          </w:p>
        </w:tc>
      </w:tr>
    </w:tbl>
    <w:p/>
    <w:p>
      <w:pPr>
        <w:pStyle w:val="Heading1"/>
      </w:pPr>
      <w:r>
        <w:t>1. Cél és hatály</w:t>
      </w:r>
    </w:p>
    <w:p>
      <w:r>
        <w:t>Az eljárásrend a {{company.legal_name}} belső visszaélés-bejelentési rendszerének működési keretét rögzíti.</w:t>
      </w:r>
    </w:p>
    <w:p>
      <w:pPr>
        <w:pStyle w:val="Heading1"/>
      </w:pPr>
      <w:r>
        <w:t>2. Működtető és pártatlanság</w:t>
      </w:r>
    </w:p>
    <w:p>
      <w:r>
        <w:t>A rendszer működtetőjét, helyettesítését és összeférhetetlenségi szabályait a jóváhagyott változatban kell kijelölni.</w:t>
      </w:r>
    </w:p>
    <w:p>
      <w:pPr>
        <w:pStyle w:val="Heading1"/>
      </w:pPr>
      <w:r>
        <w:t>3. Bejelentés módja</w:t>
      </w:r>
    </w:p>
    <w:p>
      <w:r>
        <w:t>A bejelentés írásban vagy szóban tehető. A hozzáférési csatornákat a vállalkozás tényleges működéséhez kell igazítani.</w:t>
      </w:r>
    </w:p>
    <w:p>
      <w:pPr>
        <w:pStyle w:val="Heading1"/>
      </w:pPr>
      <w:r>
        <w:t>4. Visszaigazolás és kivizsgálás</w:t>
      </w:r>
    </w:p>
    <w:p>
      <w:r>
        <w:t>Írásbeli bejelzésnél a visszaigazolást hét napon belül kell elküldeni. A kivizsgálás főszabály szerint legfeljebb harminc nap; indokolt hosszabbítás esetén a törvényi garanciákat kell alkalmazni.</w:t>
      </w:r>
    </w:p>
    <w:p>
      <w:pPr>
        <w:pStyle w:val="Heading1"/>
      </w:pPr>
      <w:r>
        <w:t>5. Bizalmasság és iratkezelés</w:t>
      </w:r>
    </w:p>
    <w:p>
      <w:r>
        <w:t>A személyazonosságot és a bejelentés tartalmát a jogosultakon kívül más nem ismerheti meg; az iratkezelés részletszabályait külön felül kell vizsgálni.</w:t>
      </w:r>
    </w:p>
    <w:p>
      <w:pPr>
        <w:pStyle w:val="Heading1"/>
      </w:pPr>
      <w:r>
        <w:t>6. Tájékoztatás és felülvizsgálat</w:t>
      </w:r>
    </w:p>
    <w:p>
      <w:r>
        <w:t>A rendszer működéséről világos és könnyen hozzáférhető tájékoztatást kell nyújtani. A dokumentumot változás esetén felül kell vizsgálni.</w:t>
      </w:r>
    </w:p>
    <w:p>
      <w:pPr>
        <w:pStyle w:val="Heading1"/>
      </w:pPr>
      <w:r>
        <w:t>Jóváhagyás</w:t>
      </w:r>
    </w:p>
    <w:p>
      <w:r>
        <w:t>Jóváhagyó: {{document.approved_by}}</w:t>
        <w:br/>
        <w:t>Dátum: {{document.effective_date}}</w:t>
        <w:br/>
        <w:t>Aláírás: 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 xml:space="preserve">LEGAL_REVIEW_REQUIRED | Belső használatra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6464"/>
        <w:sz w:val="16"/>
      </w:rPr>
      <w:t>ADMINICULUM | JOGI FELÜLVIZSGÁLATI TERVEZET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