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0B1020"/>
          <w:sz w:val="68"/>
        </w:rPr>
        <w:t>PRAVAH</w:t>
      </w:r>
    </w:p>
    <w:p>
      <w:pPr>
        <w:jc w:val="center"/>
      </w:pPr>
      <w:r>
        <w:rPr>
          <w:b/>
          <w:color w:val="7C6CFF"/>
          <w:sz w:val="30"/>
        </w:rPr>
        <w:t>DESKTOP WEB DESIGN SPECIFICATION</w:t>
      </w:r>
    </w:p>
    <w:p>
      <w:pPr>
        <w:jc w:val="center"/>
      </w:pPr>
      <w:r>
        <w:rPr>
          <w:color w:val="475467"/>
          <w:sz w:val="24"/>
        </w:rPr>
        <w:t>Causal Risk Intelligence Engine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color w:val="344054"/>
                <w:sz w:val="19"/>
              </w:rPr>
              <w:t>Scope: laptop / desktop web interface only. This document defines the primary 1440 px dashboard experience for the PRAVAH hackathon prototype. Mobile and tablet layouts are intentionally out of scope.</w:t>
            </w:r>
          </w:p>
        </w:tc>
      </w:tr>
    </w:tbl>
    <w:p>
      <w:r>
        <w:br w:type="page"/>
      </w:r>
    </w:p>
    <w:p>
      <w:pPr>
        <w:pStyle w:val="Heading1"/>
      </w:pPr>
      <w:r>
        <w:t>1. Desktop Design Goal</w:t>
      </w:r>
    </w:p>
    <w:p>
      <w:r>
        <w:t>PRAVAH should feel like a modern enterprise intelligence dashboard: dark, compact, premium, data-dense, and action-oriented. The visual direction is inspired by Sentinel-style cybersecurity dashboards, where important risk metrics sit above a high-density operational table and the most critical state is immediately visible.</w:t>
      </w:r>
    </w:p>
    <w:p>
      <w:pPr>
        <w:pStyle w:val="ListBullet"/>
        <w:spacing w:after="60"/>
      </w:pPr>
      <w:r>
        <w:t>Primary environment: laptop / desktop browser.</w:t>
      </w:r>
    </w:p>
    <w:p>
      <w:pPr>
        <w:pStyle w:val="ListBullet"/>
        <w:spacing w:after="60"/>
      </w:pPr>
      <w:r>
        <w:t>Reference canvas: 1440 × 900 px.</w:t>
      </w:r>
    </w:p>
    <w:p>
      <w:pPr>
        <w:pStyle w:val="ListBullet"/>
        <w:spacing w:after="60"/>
      </w:pPr>
      <w:r>
        <w:t>Minimum supported prototype width: 1280 px.</w:t>
      </w:r>
    </w:p>
    <w:p>
      <w:pPr>
        <w:pStyle w:val="ListBullet"/>
        <w:spacing w:after="60"/>
      </w:pPr>
      <w:r>
        <w:t>No mobile bottom navigation, tablet stacking rules, or phone-specific components in this version.</w:t>
      </w:r>
    </w:p>
    <w:p>
      <w:pPr>
        <w:pStyle w:val="ListBullet"/>
        <w:spacing w:after="60"/>
      </w:pPr>
      <w:r>
        <w:t>The interface should prioritize fast scanning, report review, causal explanation, and safety action.</w:t>
      </w:r>
    </w:p>
    <w:p>
      <w:pPr>
        <w:pStyle w:val="Heading1"/>
      </w:pPr>
      <w:r>
        <w:t>2. Main Desktop Canvas</w:t>
      </w:r>
    </w:p>
    <w:p>
      <w:r>
        <w:t>Use a fixed application shell with three major regions: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Width / Height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Sidebar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220–240 px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Fixed left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Brand, primary navigation, user/profile controls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Top bar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 px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Top of content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Page title, search, filters, notifications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Main content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Remaining width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Scrollable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KPI cards, analytics, report tables, detail views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color w:val="344054"/>
                <w:sz w:val="19"/>
              </w:rPr>
              <w:t>Recommended content width at 1440 px: sidebar 232 px + 24 px gutter + approximately 1160 px usable dashboard area.</w:t>
            </w:r>
          </w:p>
        </w:tc>
      </w:tr>
    </w:tbl>
    <w:p>
      <w:pPr>
        <w:pStyle w:val="Heading1"/>
      </w:pPr>
      <w:r>
        <w:t>3. Visual Style</w:t>
      </w:r>
    </w:p>
    <w:p>
      <w:r>
        <w:t>The desktop UI uses a deep charcoal/navy background with slightly lighter cards. Bright colors are reserved for risk, AI, and status signals. Avoid a rainbow dashboard; the interface should look controlled and serious.</w:t>
      </w:r>
    </w:p>
    <w:p>
      <w:pPr>
        <w:pStyle w:val="Heading2"/>
      </w:pPr>
      <w:r>
        <w:t>3.1 Core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 background</w:t>
            </w:r>
          </w:p>
        </w:tc>
        <w:tc>
          <w:tcPr>
            <w:tcW w:type="dxa" w:w="5112"/>
            <w:shd w:fill="0B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#0B1020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Sidebar</w:t>
            </w:r>
          </w:p>
        </w:tc>
        <w:tc>
          <w:tcPr>
            <w:tcW w:type="dxa" w:w="5112"/>
            <w:shd w:fill="0E1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#0E1422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card</w:t>
            </w:r>
          </w:p>
        </w:tc>
        <w:tc>
          <w:tcPr>
            <w:tcW w:type="dxa" w:w="5112"/>
            <w:shd w:fill="1218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#121826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Elevated card</w:t>
            </w:r>
          </w:p>
        </w:tc>
        <w:tc>
          <w:tcPr>
            <w:tcW w:type="dxa" w:w="5112"/>
            <w:shd w:fill="191F2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#191F2D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Border</w:t>
            </w:r>
          </w:p>
        </w:tc>
        <w:tc>
          <w:tcPr>
            <w:tcW w:type="dxa" w:w="5112"/>
            <w:shd w:fill="2B32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#2B3242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text</w:t>
            </w:r>
          </w:p>
        </w:tc>
        <w:tc>
          <w:tcPr>
            <w:tcW w:type="dxa" w:w="5112"/>
            <w:shd w:fill="F4F6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#F4F6FB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Secondary text</w:t>
            </w:r>
          </w:p>
        </w:tc>
        <w:tc>
          <w:tcPr>
            <w:tcW w:type="dxa" w:w="5112"/>
            <w:shd w:fill="98A2B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#98A2B3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PRAVAH accent</w:t>
            </w:r>
          </w:p>
        </w:tc>
        <w:tc>
          <w:tcPr>
            <w:tcW w:type="dxa" w:w="5112"/>
            <w:shd w:fill="7C6C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#7C6CFF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 / energy cyan</w:t>
            </w:r>
          </w:p>
        </w:tc>
        <w:tc>
          <w:tcPr>
            <w:tcW w:type="dxa" w:w="5112"/>
            <w:shd w:fill="22D3E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#22D3EE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Safe</w:t>
            </w:r>
          </w:p>
        </w:tc>
        <w:tc>
          <w:tcPr>
            <w:tcW w:type="dxa" w:w="5112"/>
            <w:shd w:fill="32D5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#32D583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Warning</w:t>
            </w:r>
          </w:p>
        </w:tc>
        <w:tc>
          <w:tcPr>
            <w:tcW w:type="dxa" w:w="5112"/>
            <w:shd w:fill="FDB0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#FDB022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Critical</w:t>
            </w:r>
          </w:p>
        </w:tc>
        <w:tc>
          <w:tcPr>
            <w:tcW w:type="dxa" w:w="5112"/>
            <w:shd w:fill="F0443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#F04438</w:t>
            </w:r>
          </w:p>
        </w:tc>
      </w:tr>
    </w:tbl>
    <w:p>
      <w:pPr>
        <w:pStyle w:val="Heading2"/>
      </w:pPr>
      <w:r>
        <w:t>3.2 Typography</w:t>
      </w:r>
    </w:p>
    <w:p>
      <w:pPr>
        <w:pStyle w:val="ListBullet"/>
        <w:spacing w:after="60"/>
      </w:pPr>
      <w:r>
        <w:t>Font: Inter, Geist, or Plus Jakarta Sans.</w:t>
      </w:r>
    </w:p>
    <w:p>
      <w:pPr>
        <w:pStyle w:val="ListBullet"/>
        <w:spacing w:after="60"/>
      </w:pPr>
      <w:r>
        <w:t>Page title: 24–28 px, semibold.</w:t>
      </w:r>
    </w:p>
    <w:p>
      <w:pPr>
        <w:pStyle w:val="ListBullet"/>
        <w:spacing w:after="60"/>
      </w:pPr>
      <w:r>
        <w:t>KPI value: 28–36 px, semibold.</w:t>
      </w:r>
    </w:p>
    <w:p>
      <w:pPr>
        <w:pStyle w:val="ListBullet"/>
        <w:spacing w:after="60"/>
      </w:pPr>
      <w:r>
        <w:t>Card title: 12–14 px, semibold.</w:t>
      </w:r>
    </w:p>
    <w:p>
      <w:pPr>
        <w:pStyle w:val="ListBullet"/>
        <w:spacing w:after="60"/>
      </w:pPr>
      <w:r>
        <w:t>Body / table text: 12–14 px.</w:t>
      </w:r>
    </w:p>
    <w:p>
      <w:pPr>
        <w:pStyle w:val="ListBullet"/>
        <w:spacing w:after="60"/>
      </w:pPr>
      <w:r>
        <w:t>Muted metadata: 11–12 px.</w:t>
      </w:r>
    </w:p>
    <w:p>
      <w:pPr>
        <w:pStyle w:val="Heading2"/>
      </w:pPr>
      <w:r>
        <w:t>3.3 Cards and spacing</w:t>
      </w:r>
    </w:p>
    <w:p>
      <w:pPr>
        <w:pStyle w:val="ListBullet"/>
        <w:spacing w:after="60"/>
      </w:pPr>
      <w:r>
        <w:t>Card radius: 14 px.</w:t>
      </w:r>
    </w:p>
    <w:p>
      <w:pPr>
        <w:pStyle w:val="ListBullet"/>
        <w:spacing w:after="60"/>
      </w:pPr>
      <w:r>
        <w:t>Card border: 1 px subtle navy-gray border.</w:t>
      </w:r>
    </w:p>
    <w:p>
      <w:pPr>
        <w:pStyle w:val="ListBullet"/>
        <w:spacing w:after="60"/>
      </w:pPr>
      <w:r>
        <w:t>Standard card padding: 16 px.</w:t>
      </w:r>
    </w:p>
    <w:p>
      <w:pPr>
        <w:pStyle w:val="ListBullet"/>
        <w:spacing w:after="60"/>
      </w:pPr>
      <w:r>
        <w:t>Dashboard gap: 16 px.</w:t>
      </w:r>
    </w:p>
    <w:p>
      <w:pPr>
        <w:pStyle w:val="ListBullet"/>
        <w:spacing w:after="60"/>
      </w:pPr>
      <w:r>
        <w:t>Major section gap: 20–24 px.</w:t>
      </w:r>
    </w:p>
    <w:p>
      <w:pPr>
        <w:pStyle w:val="ListBullet"/>
        <w:spacing w:after="60"/>
      </w:pPr>
      <w:r>
        <w:t>Avoid heavy shadows; rely on surface contrast and a soft border.</w:t>
      </w:r>
    </w:p>
    <w:p>
      <w:r>
        <w:br w:type="page"/>
      </w:r>
    </w:p>
    <w:p>
      <w:pPr>
        <w:pStyle w:val="Heading1"/>
      </w:pPr>
      <w:r>
        <w:t>4. Desktop Sidebar</w:t>
      </w:r>
    </w:p>
    <w:p>
      <w:r>
        <w:t>The sidebar stays visible at all times on the laptop version.</w:t>
      </w:r>
    </w:p>
    <w:p>
      <w:pPr>
        <w:pStyle w:val="ListBullet"/>
        <w:spacing w:after="60"/>
      </w:pPr>
      <w:r>
        <w:t>Top: PRAVAH logo / wordmark and small subtitle 'Causal Risk Intelligence'.</w:t>
      </w:r>
    </w:p>
    <w:p>
      <w:pPr>
        <w:pStyle w:val="ListBullet"/>
        <w:spacing w:after="60"/>
      </w:pPr>
      <w:r>
        <w:t>Navigation: Overview, Reports, Causal Analysis, Precursors, Hotspots, Life-Saving Rules, Expert Review.</w:t>
      </w:r>
    </w:p>
    <w:p>
      <w:pPr>
        <w:pStyle w:val="ListBullet"/>
        <w:spacing w:after="60"/>
      </w:pPr>
      <w:r>
        <w:t>Active page: purple accent background or left accent bar.</w:t>
      </w:r>
    </w:p>
    <w:p>
      <w:pPr>
        <w:pStyle w:val="ListBullet"/>
        <w:spacing w:after="60"/>
      </w:pPr>
      <w:r>
        <w:t>Icons: simple 18–20 px line icons.</w:t>
      </w:r>
    </w:p>
    <w:p>
      <w:pPr>
        <w:pStyle w:val="ListBullet"/>
        <w:spacing w:after="60"/>
      </w:pPr>
      <w:r>
        <w:t>Bottom: Settings, Help, user avatar/name, environment badge such as 'Demo'.</w:t>
      </w:r>
    </w:p>
    <w:p>
      <w:pPr>
        <w:pStyle w:val="ListBullet"/>
        <w:spacing w:after="60"/>
      </w:pPr>
      <w:r>
        <w:t>Do not make the sidebar overly wide; the dashboard content should dominate.</w:t>
      </w:r>
    </w:p>
    <w:p>
      <w:pPr>
        <w:pStyle w:val="Heading1"/>
      </w:pPr>
      <w:r>
        <w:t>5. Desktop Top Bar</w:t>
      </w:r>
    </w:p>
    <w:p>
      <w:pPr>
        <w:pStyle w:val="ListBullet"/>
        <w:spacing w:after="60"/>
      </w:pPr>
      <w:r>
        <w:t>Left: current page title and optional short subtitle.</w:t>
      </w:r>
    </w:p>
    <w:p>
      <w:pPr>
        <w:pStyle w:val="ListBullet"/>
        <w:spacing w:after="60"/>
      </w:pPr>
      <w:r>
        <w:t>Center/right: global search field.</w:t>
      </w:r>
    </w:p>
    <w:p>
      <w:pPr>
        <w:pStyle w:val="ListBullet"/>
        <w:spacing w:after="60"/>
      </w:pPr>
      <w:r>
        <w:t>Right: site selector, date-range dropdown, notification icon, profile avatar.</w:t>
      </w:r>
    </w:p>
    <w:p>
      <w:pPr>
        <w:pStyle w:val="ListBullet"/>
        <w:spacing w:after="60"/>
      </w:pPr>
      <w:r>
        <w:t>Height: 64 px.</w:t>
      </w:r>
    </w:p>
    <w:p>
      <w:pPr>
        <w:pStyle w:val="ListBullet"/>
        <w:spacing w:after="60"/>
      </w:pPr>
      <w:r>
        <w:t>No large hero header; the top bar should stay compact.</w:t>
      </w:r>
    </w:p>
    <w:p>
      <w:pPr>
        <w:pStyle w:val="Heading1"/>
      </w:pPr>
      <w:r>
        <w:t>6. Overview Dashboard — Primary Laptop Page</w:t>
      </w:r>
    </w:p>
    <w:p>
      <w:r>
        <w:t>This should be the first screen shown in the hackathon demo. It must communicate the product's value within a few seconds.</w:t>
      </w:r>
    </w:p>
    <w:p>
      <w:pPr>
        <w:pStyle w:val="Heading2"/>
      </w:pPr>
      <w:r>
        <w:t>6.1 Row 1 — KPI strip</w:t>
      </w:r>
    </w:p>
    <w:p>
      <w:r>
        <w:t>Use four cards in one horizontal row at 1440 px.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Card 1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Card 2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Card 3</w:t>
            </w:r>
          </w:p>
        </w:tc>
        <w:tc>
          <w:tcPr>
            <w:tcW w:type="dxa" w:w="2556"/>
            <w:shd w:fill="0B1020"/>
          </w:tcPr>
          <w:p>
            <w:r>
              <w:rPr>
                <w:b/>
                <w:color w:val="FFFFFF"/>
                <w:sz w:val="18"/>
              </w:rPr>
              <w:t>Card 4</w:t>
            </w:r>
          </w:p>
        </w:tc>
      </w:tr>
      <w:tr>
        <w:tc>
          <w:tcPr>
            <w:tcW w:type="dxa" w:w="255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SIF Potential</w:t>
              <w:br/>
              <w:t>Large number + small trend</w:t>
            </w:r>
          </w:p>
        </w:tc>
        <w:tc>
          <w:tcPr>
            <w:tcW w:type="dxa" w:w="255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High-Risk Reports</w:t>
              <w:br/>
              <w:t>Large number + pending count</w:t>
            </w:r>
          </w:p>
        </w:tc>
        <w:tc>
          <w:tcPr>
            <w:tcW w:type="dxa" w:w="255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Recurring Precursors</w:t>
              <w:br/>
              <w:t>Large number + trend</w:t>
            </w:r>
          </w:p>
        </w:tc>
        <w:tc>
          <w:tcPr>
            <w:tcW w:type="dxa" w:w="255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Overall Risk Score</w:t>
              <w:br/>
              <w:t>Gauge / radial indicator</w:t>
            </w:r>
          </w:p>
        </w:tc>
      </w:tr>
    </w:tbl>
    <w:p>
      <w:r>
        <w:t>Suggested card width: approximately 260–275 px each, with 16 px gaps. The Overall Risk Score card can use a semicircular or radial gauge inspired by the reference dashboard.</w:t>
      </w:r>
    </w:p>
    <w:p>
      <w:pPr>
        <w:pStyle w:val="Heading2"/>
      </w:pPr>
      <w:r>
        <w:t>6.2 Row 2 — Main intelligence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Left: 65–70% width</w:t>
            </w:r>
          </w:p>
        </w:tc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Right: 30–35% width</w:t>
            </w:r>
          </w:p>
        </w:tc>
      </w:tr>
      <w:tr>
        <w:tc>
          <w:tcPr>
            <w:tcW w:type="dxa" w:w="5112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Risk Trend / SIF Density chart</w:t>
              <w:br/>
              <w:t>• 24h / 7d / 30d tabs</w:t>
              <w:br/>
              <w:t>• site filter</w:t>
              <w:br/>
              <w:t>• line or area chart</w:t>
              <w:br/>
              <w:t>• critical points highlighted</w:t>
            </w:r>
          </w:p>
        </w:tc>
        <w:tc>
          <w:tcPr>
            <w:tcW w:type="dxa" w:w="5112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r>
              <w:t>AI Risk Brief</w:t>
              <w:br/>
              <w:t>• 3–4 important findings</w:t>
              <w:br/>
              <w:t>• evidence count</w:t>
              <w:br/>
              <w:t>• severity badge</w:t>
              <w:br/>
              <w:t>• Review action</w:t>
            </w:r>
          </w:p>
        </w:tc>
      </w:tr>
    </w:tbl>
    <w:p>
      <w:pPr>
        <w:pStyle w:val="Heading2"/>
      </w:pPr>
      <w:r>
        <w:t>6.3 Row 3 — Causal Intelligence</w:t>
      </w:r>
    </w:p>
    <w:p>
      <w:r>
        <w:t>Make this visually distinctive because it is PRAVAH's core differentiator.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color w:val="344054"/>
                <w:sz w:val="19"/>
              </w:rPr>
              <w:t>ACTIVITY  →  HAZARDOUS ENERGY  →  BARRIER FAILURE  →  POTENTIAL CONSEQUENCE</w:t>
            </w:r>
          </w:p>
        </w:tc>
      </w:tr>
    </w:tbl>
    <w:p>
      <w:pPr>
        <w:pStyle w:val="ListBullet"/>
        <w:spacing w:after="60"/>
      </w:pPr>
      <w:r>
        <w:t>Four connected cards arranged horizontally on laptop.</w:t>
      </w:r>
    </w:p>
    <w:p>
      <w:pPr>
        <w:pStyle w:val="ListBullet"/>
        <w:spacing w:after="60"/>
      </w:pPr>
      <w:r>
        <w:t>Each node has a short label, extracted phrase, and confidence.</w:t>
      </w:r>
    </w:p>
    <w:p>
      <w:pPr>
        <w:pStyle w:val="ListBullet"/>
        <w:spacing w:after="60"/>
      </w:pPr>
      <w:r>
        <w:t>Hazardous Energy uses cyan accent; Barrier Failure uses amber; severe Consequence uses red.</w:t>
      </w:r>
    </w:p>
    <w:p>
      <w:pPr>
        <w:pStyle w:val="ListBullet"/>
        <w:spacing w:after="60"/>
      </w:pPr>
      <w:r>
        <w:t>Below the chain, show: SIF Potential, mapped Life-Saving Rule, and evidence count.</w:t>
      </w:r>
    </w:p>
    <w:p>
      <w:pPr>
        <w:pStyle w:val="ListBullet"/>
        <w:spacing w:after="60"/>
      </w:pPr>
      <w:r>
        <w:t>Clicking 'View analysis' opens the detailed report.</w:t>
      </w:r>
    </w:p>
    <w:p>
      <w:pPr>
        <w:pStyle w:val="Heading2"/>
      </w:pPr>
      <w:r>
        <w:t>6.4 Row 4 — Priority Report Table</w:t>
      </w:r>
    </w:p>
    <w:p>
      <w:r>
        <w:t>A large full-width table fills the bottom of the dashboard.</w:t>
      </w:r>
    </w:p>
    <w:p>
      <w:pPr>
        <w:pStyle w:val="ListBullet"/>
        <w:spacing w:after="60"/>
      </w:pPr>
      <w:r>
        <w:t>Header area: 'Priority Reports' on left; Search + Filter on right.</w:t>
      </w:r>
    </w:p>
    <w:p>
      <w:pPr>
        <w:pStyle w:val="ListBullet"/>
        <w:spacing w:after="60"/>
      </w:pPr>
      <w:r>
        <w:t>Columns: Report ID, Site, Activity, SIF Potential, LSR, Precursor, Confidence, Date, Review Status.</w:t>
      </w:r>
    </w:p>
    <w:p>
      <w:pPr>
        <w:pStyle w:val="ListBullet"/>
        <w:spacing w:after="60"/>
      </w:pPr>
      <w:r>
        <w:t>Use compact 44–48 px rows.</w:t>
      </w:r>
    </w:p>
    <w:p>
      <w:pPr>
        <w:pStyle w:val="ListBullet"/>
        <w:spacing w:after="60"/>
      </w:pPr>
      <w:r>
        <w:t>Use colored severity badges and slim progress bars for confidence.</w:t>
      </w:r>
    </w:p>
    <w:p>
      <w:pPr>
        <w:pStyle w:val="ListBullet"/>
        <w:spacing w:after="60"/>
      </w:pPr>
      <w:r>
        <w:t>Keep the table visually similar to the Sentinel reference: dark rows, subtle separators, short metadata, and compact action icons.</w:t>
      </w:r>
    </w:p>
    <w:p>
      <w:pPr>
        <w:pStyle w:val="ListBullet"/>
        <w:spacing w:after="60"/>
      </w:pPr>
      <w:r>
        <w:t>Default to 6–8 visible rows before page scrolling.</w:t>
      </w:r>
    </w:p>
    <w:p>
      <w:r>
        <w:br w:type="page"/>
      </w:r>
    </w:p>
    <w:p>
      <w:pPr>
        <w:pStyle w:val="Heading1"/>
      </w:pPr>
      <w:r>
        <w:t>7. Reports Page — Desktop</w:t>
      </w:r>
    </w:p>
    <w:p>
      <w:r>
        <w:t>This page is a high-density report-management view.</w:t>
      </w:r>
    </w:p>
    <w:p>
      <w:pPr>
        <w:pStyle w:val="ListBullet"/>
        <w:spacing w:after="60"/>
      </w:pPr>
      <w:r>
        <w:t>Top filter bar spans the full content width.</w:t>
      </w:r>
    </w:p>
    <w:p>
      <w:pPr>
        <w:pStyle w:val="ListBullet"/>
        <w:spacing w:after="60"/>
      </w:pPr>
      <w:r>
        <w:t>Filters: site, report type, SIF level, Life-Saving Rule, review state, date.</w:t>
      </w:r>
    </w:p>
    <w:p>
      <w:pPr>
        <w:pStyle w:val="ListBullet"/>
        <w:spacing w:after="60"/>
      </w:pPr>
      <w:r>
        <w:t>Main area: table occupying full width.</w:t>
      </w:r>
    </w:p>
    <w:p>
      <w:pPr>
        <w:pStyle w:val="ListBullet"/>
        <w:spacing w:after="60"/>
      </w:pPr>
      <w:r>
        <w:t>Rightmost action: View / Review icon.</w:t>
      </w:r>
    </w:p>
    <w:p>
      <w:pPr>
        <w:pStyle w:val="ListBullet"/>
        <w:spacing w:after="60"/>
      </w:pPr>
      <w:r>
        <w:t>Clicking a report opens either a centered large drawer or a full detail page; for the demo, a full detail page is simpler and clearer.</w:t>
      </w:r>
    </w:p>
    <w:p>
      <w:pPr>
        <w:pStyle w:val="ListBullet"/>
        <w:spacing w:after="60"/>
      </w:pPr>
      <w:r>
        <w:t>Use a 2-line maximum report excerpt so row height stays controlled.</w:t>
      </w:r>
    </w:p>
    <w:p>
      <w:pPr>
        <w:pStyle w:val="Heading1"/>
      </w:pPr>
      <w:r>
        <w:t>8. Causal Analysis / Report Detail — Desktop</w:t>
      </w:r>
    </w:p>
    <w:p>
      <w:r>
        <w:t>Recommended laptop layout: 60/40 split.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Left 60%</w:t>
            </w:r>
          </w:p>
        </w:tc>
        <w:tc>
          <w:tcPr>
            <w:tcW w:type="dxa" w:w="5112"/>
            <w:shd w:fill="0B1020"/>
          </w:tcPr>
          <w:p>
            <w:r>
              <w:rPr>
                <w:b/>
                <w:color w:val="FFFFFF"/>
                <w:sz w:val="18"/>
              </w:rPr>
              <w:t>Right 40%</w:t>
            </w:r>
          </w:p>
        </w:tc>
      </w:tr>
      <w:tr>
        <w:tc>
          <w:tcPr>
            <w:tcW w:type="dxa" w:w="5112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t>ORIGINAL REPORT</w:t>
              <w:br/>
              <w:br/>
              <w:t>• report metadata</w:t>
              <w:br/>
              <w:t>• full free-text description</w:t>
              <w:br/>
              <w:t>• extracted phrases highlighted</w:t>
              <w:br/>
              <w:t>• evidence markers</w:t>
              <w:br/>
              <w:t>• related report links</w:t>
            </w:r>
          </w:p>
        </w:tc>
        <w:tc>
          <w:tcPr>
            <w:tcW w:type="dxa" w:w="5112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r>
              <w:t>AI CAUSAL ANALYSIS</w:t>
              <w:br/>
              <w:br/>
              <w:t>• Activity</w:t>
              <w:br/>
              <w:t>• Hazardous Energy</w:t>
              <w:br/>
              <w:t>• Barrier Failure</w:t>
              <w:br/>
              <w:t>• Potential Consequence</w:t>
              <w:br/>
              <w:t>• SIF Potential</w:t>
              <w:br/>
              <w:t>• Life-Saving Rule</w:t>
              <w:br/>
              <w:t>• Confidence</w:t>
              <w:br/>
              <w:t>• Confirm / Correct buttons</w:t>
            </w:r>
          </w:p>
        </w:tc>
      </w:tr>
    </w:tbl>
    <w:p>
      <w:pPr>
        <w:pStyle w:val="Heading1"/>
      </w:pPr>
      <w:r>
        <w:t>9. Precursors Page — Desktop</w:t>
      </w:r>
    </w:p>
    <w:p>
      <w:pPr>
        <w:pStyle w:val="ListBullet"/>
        <w:spacing w:after="60"/>
      </w:pPr>
      <w:r>
        <w:t>Top row: total active patterns, newly emerging patterns, sites affected.</w:t>
      </w:r>
    </w:p>
    <w:p>
      <w:pPr>
        <w:pStyle w:val="ListBullet"/>
        <w:spacing w:after="60"/>
      </w:pPr>
      <w:r>
        <w:t>Main left panel: ranked recurring precursor patterns.</w:t>
      </w:r>
    </w:p>
    <w:p>
      <w:pPr>
        <w:pStyle w:val="ListBullet"/>
        <w:spacing w:after="60"/>
      </w:pPr>
      <w:r>
        <w:t>Main right panel: selected pattern summary and causal explanation.</w:t>
      </w:r>
    </w:p>
    <w:p>
      <w:pPr>
        <w:pStyle w:val="ListBullet"/>
        <w:spacing w:after="60"/>
      </w:pPr>
      <w:r>
        <w:t>Bottom: linked reports table.</w:t>
      </w:r>
    </w:p>
    <w:p>
      <w:pPr>
        <w:pStyle w:val="ListBullet"/>
        <w:spacing w:after="60"/>
      </w:pPr>
      <w:r>
        <w:t>Avoid an overly complex network graph in the MVP; ranked pattern cards are easier to understand during a hackathon demo.</w:t>
      </w:r>
    </w:p>
    <w:p>
      <w:pPr>
        <w:pStyle w:val="Heading1"/>
      </w:pPr>
      <w:r>
        <w:t>10. Hotspots Page — Desktop</w:t>
      </w:r>
    </w:p>
    <w:p>
      <w:pPr>
        <w:pStyle w:val="ListBullet"/>
        <w:spacing w:after="60"/>
      </w:pPr>
      <w:r>
        <w:t>Top controls: site + time period + activity.</w:t>
      </w:r>
    </w:p>
    <w:p>
      <w:pPr>
        <w:pStyle w:val="ListBullet"/>
        <w:spacing w:after="60"/>
      </w:pPr>
      <w:r>
        <w:t>Main visualization: risk matrix or site heat map.</w:t>
      </w:r>
    </w:p>
    <w:p>
      <w:pPr>
        <w:pStyle w:val="ListBullet"/>
        <w:spacing w:after="60"/>
      </w:pPr>
      <w:r>
        <w:t>Side panel: top hotspot list with SIF density, report count, and dominant barrier failure.</w:t>
      </w:r>
    </w:p>
    <w:p>
      <w:pPr>
        <w:pStyle w:val="ListBullet"/>
        <w:spacing w:after="60"/>
      </w:pPr>
      <w:r>
        <w:t>Bottom chart: hotspot trend over time.</w:t>
      </w:r>
    </w:p>
    <w:p>
      <w:pPr>
        <w:pStyle w:val="ListBullet"/>
        <w:spacing w:after="60"/>
      </w:pPr>
      <w:r>
        <w:t>Raw report volume and SIF density must be displayed as separate values.</w:t>
      </w:r>
    </w:p>
    <w:p>
      <w:pPr>
        <w:pStyle w:val="Heading1"/>
      </w:pPr>
      <w:r>
        <w:t>11. Expert Review Page — Desktop</w:t>
      </w:r>
    </w:p>
    <w:p>
      <w:pPr>
        <w:pStyle w:val="ListBullet"/>
        <w:spacing w:after="60"/>
      </w:pPr>
      <w:r>
        <w:t>Left: pending review queue.</w:t>
      </w:r>
    </w:p>
    <w:p>
      <w:pPr>
        <w:pStyle w:val="ListBullet"/>
        <w:spacing w:after="60"/>
      </w:pPr>
      <w:r>
        <w:t>Center/right: selected report causal analysis.</w:t>
      </w:r>
    </w:p>
    <w:p>
      <w:pPr>
        <w:pStyle w:val="ListBullet"/>
        <w:spacing w:after="60"/>
      </w:pPr>
      <w:r>
        <w:t>Sticky action area: Confirm, Correct, Escalate, Add Note.</w:t>
      </w:r>
    </w:p>
    <w:p>
      <w:pPr>
        <w:pStyle w:val="ListBullet"/>
        <w:spacing w:after="60"/>
      </w:pPr>
      <w:r>
        <w:t>Correction controls should edit the relevant causal node instead of forcing the user into a long form.</w:t>
      </w:r>
    </w:p>
    <w:p>
      <w:pPr>
        <w:pStyle w:val="ListBullet"/>
        <w:spacing w:after="60"/>
      </w:pPr>
      <w:r>
        <w:t>After confirmation, show a small success toast and move to the next pending item.</w:t>
      </w:r>
    </w:p>
    <w:p>
      <w:r>
        <w:br w:type="page"/>
      </w:r>
    </w:p>
    <w:p>
      <w:pPr>
        <w:pStyle w:val="Heading1"/>
      </w:pPr>
      <w:r>
        <w:t>12. Desktop Component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1020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shd w:fill="0B1020"/>
          </w:tcPr>
          <w:p>
            <w:r>
              <w:rPr>
                <w:b/>
                <w:color w:val="FFFFFF"/>
                <w:sz w:val="18"/>
              </w:rPr>
              <w:t>Suggested desktop size</w:t>
            </w:r>
          </w:p>
        </w:tc>
        <w:tc>
          <w:tcPr>
            <w:tcW w:type="dxa" w:w="3408"/>
            <w:shd w:fill="0B102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Sidebar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232 px wide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Fixed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Top bar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 px high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Sticky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KPI card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260–275 × 145–165 px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across at 1440 px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Standard card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Fluid × 220–320 px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16 px padding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insight card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Full column width × 72–96 px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Stacked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Table row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44–48 px high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Compact density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button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36–40 px high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Purple accent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Filter/select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34–38 px high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Compact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Status badge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24–28 px high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Rounded pill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Causal node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~220–250 × 110–130 px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nodes across</w:t>
            </w:r>
          </w:p>
        </w:tc>
      </w:tr>
    </w:tbl>
    <w:p>
      <w:pPr>
        <w:pStyle w:val="Heading1"/>
      </w:pPr>
      <w:r>
        <w:t>13. Desktop Interaction Rules</w:t>
      </w:r>
    </w:p>
    <w:p>
      <w:pPr>
        <w:pStyle w:val="ListBullet"/>
        <w:spacing w:after="60"/>
      </w:pPr>
      <w:r>
        <w:t>Card hover: border becomes slightly brighter; no large scaling.</w:t>
      </w:r>
    </w:p>
    <w:p>
      <w:pPr>
        <w:pStyle w:val="ListBullet"/>
        <w:spacing w:after="60"/>
      </w:pPr>
      <w:r>
        <w:t>Table row hover: subtle elevated background.</w:t>
      </w:r>
    </w:p>
    <w:p>
      <w:pPr>
        <w:pStyle w:val="ListBullet"/>
        <w:spacing w:after="60"/>
      </w:pPr>
      <w:r>
        <w:t>Charts: tooltip on hover and click-to-filter where useful.</w:t>
      </w:r>
    </w:p>
    <w:p>
      <w:pPr>
        <w:pStyle w:val="ListBullet"/>
        <w:spacing w:after="60"/>
      </w:pPr>
      <w:r>
        <w:t>Navigation transitions: fast 150–200 ms.</w:t>
      </w:r>
    </w:p>
    <w:p>
      <w:pPr>
        <w:pStyle w:val="ListBullet"/>
        <w:spacing w:after="60"/>
      </w:pPr>
      <w:r>
        <w:t>Opening a report should preserve filters and scroll position when returning.</w:t>
      </w:r>
    </w:p>
    <w:p>
      <w:pPr>
        <w:pStyle w:val="ListBullet"/>
        <w:spacing w:after="60"/>
      </w:pPr>
      <w:r>
        <w:t>Critical status must be visible through both color and text.</w:t>
      </w:r>
    </w:p>
    <w:p>
      <w:pPr>
        <w:pStyle w:val="ListBullet"/>
        <w:spacing w:after="60"/>
      </w:pPr>
      <w:r>
        <w:t>Do not use blinking or pulsing red alerts.</w:t>
      </w:r>
    </w:p>
    <w:p>
      <w:pPr>
        <w:pStyle w:val="Heading1"/>
      </w:pPr>
      <w:r>
        <w:t>14. Desktop Design Hierarchy</w:t>
      </w:r>
    </w:p>
    <w:p>
      <w:r>
        <w:t>The visual priority on every laptop screen should be: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color w:val="344054"/>
                <w:sz w:val="19"/>
              </w:rPr>
              <w:t>1. CRITICAL RISK  →  2. CAUSAL EXPLANATION  →  3. EVIDENCE  →  4. ACTION</w:t>
            </w:r>
          </w:p>
        </w:tc>
      </w:tr>
    </w:tbl>
    <w:p>
      <w:r>
        <w:t>Secondary metrics, decorative graphics, and low-priority trends must never visually compete with the current safety risk.</w:t>
      </w:r>
    </w:p>
    <w:p>
      <w:pPr>
        <w:pStyle w:val="Heading1"/>
      </w:pPr>
      <w:r>
        <w:t>15. What to Copy From the Sentinel-Style Reference</w:t>
      </w:r>
    </w:p>
    <w:p>
      <w:pPr>
        <w:pStyle w:val="ListBullet"/>
        <w:spacing w:after="60"/>
      </w:pPr>
      <w:r>
        <w:t>Dark command-center aesthetic.</w:t>
      </w:r>
    </w:p>
    <w:p>
      <w:pPr>
        <w:pStyle w:val="ListBullet"/>
        <w:spacing w:after="60"/>
      </w:pPr>
      <w:r>
        <w:t>One-row summary metric cards.</w:t>
      </w:r>
    </w:p>
    <w:p>
      <w:pPr>
        <w:pStyle w:val="ListBullet"/>
        <w:spacing w:after="60"/>
      </w:pPr>
      <w:r>
        <w:t>Large risk-score / gauge card.</w:t>
      </w:r>
    </w:p>
    <w:p>
      <w:pPr>
        <w:pStyle w:val="ListBullet"/>
        <w:spacing w:after="60"/>
      </w:pPr>
      <w:r>
        <w:t>Compact dense table beneath analytics.</w:t>
      </w:r>
    </w:p>
    <w:p>
      <w:pPr>
        <w:pStyle w:val="ListBullet"/>
        <w:spacing w:after="60"/>
      </w:pPr>
      <w:r>
        <w:t>Small search/filter controls integrated inside cards.</w:t>
      </w:r>
    </w:p>
    <w:p>
      <w:pPr>
        <w:pStyle w:val="ListBullet"/>
        <w:spacing w:after="60"/>
      </w:pPr>
      <w:r>
        <w:t>High contrast between background and information cards.</w:t>
      </w:r>
    </w:p>
    <w:p>
      <w:pPr>
        <w:pStyle w:val="ListBullet"/>
        <w:spacing w:after="60"/>
      </w:pPr>
      <w:r>
        <w:t>Use of saturated accent blocks for important metrics while keeping the rest of the UI neutral.</w:t>
      </w:r>
    </w:p>
    <w:p>
      <w:pPr>
        <w:pStyle w:val="Heading1"/>
      </w:pPr>
      <w:r>
        <w:t>16. What PRAVAH Should Change</w:t>
      </w:r>
    </w:p>
    <w:p>
      <w:pPr>
        <w:pStyle w:val="ListBullet"/>
        <w:spacing w:after="60"/>
      </w:pPr>
      <w:r>
        <w:t>Replace cybersecurity threat metrics with SIF, precursor, LSR, barrier, and hotspot intelligence.</w:t>
      </w:r>
    </w:p>
    <w:p>
      <w:pPr>
        <w:pStyle w:val="ListBullet"/>
        <w:spacing w:after="60"/>
      </w:pPr>
      <w:r>
        <w:t>Make the causal chain the strongest PRAVAH-specific visual element.</w:t>
      </w:r>
    </w:p>
    <w:p>
      <w:pPr>
        <w:pStyle w:val="ListBullet"/>
        <w:spacing w:after="60"/>
      </w:pPr>
      <w:r>
        <w:t>Use critical red more sparingly than a typical cyber dashboard because it represents serious injury / fatality potential.</w:t>
      </w:r>
    </w:p>
    <w:p>
      <w:pPr>
        <w:pStyle w:val="ListBullet"/>
        <w:spacing w:after="60"/>
      </w:pPr>
      <w:r>
        <w:t>Prioritize explanation and expert review rather than only monitoring.</w:t>
      </w:r>
    </w:p>
    <w:p>
      <w:pPr>
        <w:pStyle w:val="ListBullet"/>
        <w:spacing w:after="60"/>
      </w:pPr>
      <w:r>
        <w:t>Use industrial safety terminology consistently throughout the UI.</w:t>
      </w:r>
    </w:p>
    <w:p>
      <w:pPr>
        <w:pStyle w:val="Heading1"/>
      </w:pPr>
      <w:r>
        <w:t>17. Final Laptop MVP Screen Set</w:t>
      </w:r>
    </w:p>
    <w:p>
      <w:r>
        <w:t>1. Overview Dashboard</w:t>
      </w:r>
    </w:p>
    <w:p>
      <w:r>
        <w:t>2. Reports</w:t>
      </w:r>
    </w:p>
    <w:p>
      <w:r>
        <w:t>3. Causal Analysis / Report Detail</w:t>
      </w:r>
    </w:p>
    <w:p>
      <w:r>
        <w:t>4. Recurring Precursors</w:t>
      </w:r>
    </w:p>
    <w:p>
      <w:r>
        <w:t>5. Hotspots</w:t>
      </w:r>
    </w:p>
    <w:p>
      <w:r>
        <w:t>6. Expert Review</w:t>
      </w:r>
    </w:p>
    <w:p>
      <w:pPr>
        <w:pStyle w:val="Heading1"/>
      </w:pPr>
      <w:r>
        <w:t>18. Recommended Hackathon Demo Route</w:t>
      </w:r>
    </w:p>
    <w:p>
      <w:pPr>
        <w:pStyle w:val="ListBullet"/>
        <w:spacing w:after="60"/>
      </w:pPr>
      <w:r>
        <w:t>Open Overview Dashboard.</w:t>
      </w:r>
    </w:p>
    <w:p>
      <w:pPr>
        <w:pStyle w:val="ListBullet"/>
        <w:spacing w:after="60"/>
      </w:pPr>
      <w:r>
        <w:t>Point out SIF Potential, recurring precursor count, and Overall Risk Score.</w:t>
      </w:r>
    </w:p>
    <w:p>
      <w:pPr>
        <w:pStyle w:val="ListBullet"/>
        <w:spacing w:after="60"/>
      </w:pPr>
      <w:r>
        <w:t>Select the highest-priority report from the bottom table.</w:t>
      </w:r>
    </w:p>
    <w:p>
      <w:pPr>
        <w:pStyle w:val="ListBullet"/>
        <w:spacing w:after="60"/>
      </w:pPr>
      <w:r>
        <w:t>Show the 60/40 Causal Analysis page.</w:t>
      </w:r>
    </w:p>
    <w:p>
      <w:pPr>
        <w:pStyle w:val="ListBullet"/>
        <w:spacing w:after="60"/>
      </w:pPr>
      <w:r>
        <w:t>Explain Activity → Hazardous Energy → Barrier Failure → Potential Consequence.</w:t>
      </w:r>
    </w:p>
    <w:p>
      <w:pPr>
        <w:pStyle w:val="ListBullet"/>
        <w:spacing w:after="60"/>
      </w:pPr>
      <w:r>
        <w:t>Show the mapped Life-Saving Rule and evidence.</w:t>
      </w:r>
    </w:p>
    <w:p>
      <w:pPr>
        <w:pStyle w:val="ListBullet"/>
        <w:spacing w:after="60"/>
      </w:pPr>
      <w:r>
        <w:t>Open the recurring precursor to demonstrate cross-report pattern detection.</w:t>
      </w:r>
    </w:p>
    <w:p>
      <w:pPr>
        <w:pStyle w:val="ListBullet"/>
        <w:spacing w:after="60"/>
      </w:pPr>
      <w:r>
        <w:t>Return to Expert Review and confirm/correct the AI output.</w:t>
      </w:r>
    </w:p>
    <w:p>
      <w:pPr>
        <w:pStyle w:val="Heading1"/>
      </w:pPr>
      <w:r>
        <w:t>19. Scope Note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color w:val="344054"/>
                <w:sz w:val="19"/>
              </w:rPr>
              <w:t>This version is intentionally desktop-only. Mobile navigation, tablet breakpoints, responsive card stacking, touch-specific interactions, and phone layouts should be designed only after the laptop prototype is stable.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