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360" w:line="360" w:lineRule="auto"/>
        <w:jc w:val="center"/>
      </w:pPr>
      <w:r>
        <w:rPr>
          <w:rFonts w:ascii="Times New Roman" w:hAnsi="Times New Roman"/>
          <w:b/>
          <w:i w:val="0"/>
          <w:color w:val="1E3A8A"/>
          <w:sz w:val="36"/>
        </w:rPr>
        <w:t>INSTAHEALTH: A PRIVACY-PRESERVING ZERO-CLOUD ON-DEVICE SMARTWATCH HEALTH INTELLIGENCE SYSTEM WITH ADAPTIVE MULTI-PROFILE PHYSIOLOGICAL MODELING</w:t>
      </w:r>
    </w:p>
    <w:p>
      <w:pPr>
        <w:spacing w:before="160" w:after="120" w:line="360" w:lineRule="auto"/>
        <w:jc w:val="center"/>
      </w:pPr>
      <w:r>
        <w:rPr>
          <w:rFonts w:ascii="Times New Roman" w:hAnsi="Times New Roman"/>
          <w:b/>
          <w:i w:val="0"/>
          <w:sz w:val="28"/>
        </w:rPr>
        <w:t>A Project Report</w:t>
      </w:r>
    </w:p>
    <w:p>
      <w:pPr>
        <w:spacing w:before="80" w:after="240" w:line="360" w:lineRule="auto"/>
        <w:jc w:val="center"/>
      </w:pPr>
      <w:r>
        <w:rPr>
          <w:rFonts w:ascii="Times New Roman" w:hAnsi="Times New Roman"/>
          <w:b w:val="0"/>
          <w:i/>
          <w:sz w:val="24"/>
        </w:rPr>
        <w:t>Submitted by</w:t>
      </w:r>
    </w:p>
    <w:p>
      <w:pPr>
        <w:spacing w:before="40" w:after="40" w:line="360" w:lineRule="auto"/>
        <w:jc w:val="center"/>
      </w:pPr>
      <w:r>
        <w:rPr>
          <w:rFonts w:ascii="Times New Roman" w:hAnsi="Times New Roman"/>
          <w:b/>
          <w:i w:val="0"/>
          <w:sz w:val="24"/>
        </w:rPr>
        <w:t>JATHIN REDDY (22BCE10001)</w:t>
      </w:r>
    </w:p>
    <w:p>
      <w:pPr>
        <w:spacing w:before="40" w:after="40" w:line="360" w:lineRule="auto"/>
        <w:jc w:val="center"/>
      </w:pPr>
      <w:r>
        <w:rPr>
          <w:rFonts w:ascii="Times New Roman" w:hAnsi="Times New Roman"/>
          <w:b/>
          <w:i w:val="0"/>
          <w:sz w:val="24"/>
        </w:rPr>
        <w:t>STUDENT 2 (22BCE10002)</w:t>
      </w:r>
    </w:p>
    <w:p>
      <w:pPr>
        <w:spacing w:before="40" w:after="40" w:line="360" w:lineRule="auto"/>
        <w:jc w:val="center"/>
      </w:pPr>
      <w:r>
        <w:rPr>
          <w:rFonts w:ascii="Times New Roman" w:hAnsi="Times New Roman"/>
          <w:b/>
          <w:i w:val="0"/>
          <w:sz w:val="24"/>
        </w:rPr>
        <w:t>STUDENT 3 (22BCE10003)</w:t>
      </w:r>
    </w:p>
    <w:p>
      <w:pPr>
        <w:spacing w:before="40" w:after="40" w:line="360" w:lineRule="auto"/>
        <w:jc w:val="center"/>
      </w:pPr>
      <w:r>
        <w:rPr>
          <w:rFonts w:ascii="Times New Roman" w:hAnsi="Times New Roman"/>
          <w:b/>
          <w:i w:val="0"/>
          <w:sz w:val="24"/>
        </w:rPr>
        <w:t>STUDENT 4 (22BCE10004)</w:t>
      </w:r>
    </w:p>
    <w:p>
      <w:pPr>
        <w:spacing w:before="280" w:after="280" w:line="312" w:lineRule="auto"/>
        <w:jc w:val="center"/>
      </w:pPr>
      <w:r>
        <w:rPr>
          <w:rFonts w:ascii="Times New Roman" w:hAnsi="Times New Roman"/>
          <w:b w:val="0"/>
          <w:i/>
          <w:sz w:val="24"/>
        </w:rPr>
        <w:t>in partial fulfillment for the award of the degree</w:t>
        <w:br/>
        <w:t>of</w:t>
        <w:br/>
        <w:t>Bachelor of Technology</w:t>
        <w:br/>
        <w:t>in</w:t>
        <w:br/>
        <w:t>Computer Science &amp; Engineering</w:t>
      </w:r>
    </w:p>
    <w:p>
      <w:pPr>
        <w:spacing w:before="120" w:after="40" w:line="360" w:lineRule="auto"/>
        <w:jc w:val="center"/>
      </w:pPr>
      <w:r>
        <w:rPr>
          <w:rFonts w:ascii="Times New Roman" w:hAnsi="Times New Roman"/>
          <w:b w:val="0"/>
          <w:i/>
          <w:sz w:val="24"/>
        </w:rPr>
        <w:t>Under the Guidance of</w:t>
      </w:r>
    </w:p>
    <w:p>
      <w:pPr>
        <w:spacing w:before="40" w:after="40" w:line="360" w:lineRule="auto"/>
        <w:jc w:val="center"/>
      </w:pPr>
      <w:r>
        <w:rPr>
          <w:rFonts w:ascii="Times New Roman" w:hAnsi="Times New Roman"/>
          <w:b/>
          <w:i w:val="0"/>
          <w:sz w:val="26"/>
        </w:rPr>
        <w:t>Dr. S. Ramesh Kumar, M.Tech., Ph.D.</w:t>
      </w:r>
    </w:p>
    <w:p>
      <w:pPr>
        <w:spacing w:before="40" w:after="280" w:line="360" w:lineRule="auto"/>
        <w:jc w:val="center"/>
      </w:pPr>
      <w:r>
        <w:rPr>
          <w:rFonts w:ascii="Times New Roman" w:hAnsi="Times New Roman"/>
          <w:b w:val="0"/>
          <w:i w:val="0"/>
          <w:sz w:val="22"/>
        </w:rPr>
        <w:t>Associate Professor, Department of Computer Science &amp; Engineering</w:t>
      </w:r>
    </w:p>
    <w:p>
      <w:pPr>
        <w:spacing w:before="160" w:after="240"/>
        <w:jc w:val="center"/>
      </w:pPr>
      <w:r>
        <w:drawing>
          <wp:inline xmlns:a="http://schemas.openxmlformats.org/drawingml/2006/main" xmlns:pic="http://schemas.openxmlformats.org/drawingml/2006/picture">
            <wp:extent cx="1645920" cy="1645920"/>
            <wp:docPr id="1" name="Picture 1"/>
            <wp:cNvGraphicFramePr>
              <a:graphicFrameLocks noChangeAspect="1"/>
            </wp:cNvGraphicFramePr>
            <a:graphic>
              <a:graphicData uri="http://schemas.openxmlformats.org/drawingml/2006/picture">
                <pic:pic>
                  <pic:nvPicPr>
                    <pic:cNvPr id="0" name="apollo_logo.png"/>
                    <pic:cNvPicPr/>
                  </pic:nvPicPr>
                  <pic:blipFill>
                    <a:blip r:embed="rId10"/>
                    <a:stretch>
                      <a:fillRect/>
                    </a:stretch>
                  </pic:blipFill>
                  <pic:spPr>
                    <a:xfrm>
                      <a:off x="0" y="0"/>
                      <a:ext cx="1645920" cy="1645920"/>
                    </a:xfrm>
                    <a:prstGeom prst="rect"/>
                  </pic:spPr>
                </pic:pic>
              </a:graphicData>
            </a:graphic>
          </wp:inline>
        </w:drawing>
      </w:r>
    </w:p>
    <w:p>
      <w:pPr>
        <w:spacing w:before="160" w:after="80" w:line="312" w:lineRule="auto"/>
        <w:jc w:val="center"/>
      </w:pPr>
      <w:r>
        <w:rPr>
          <w:rFonts w:ascii="Times New Roman" w:hAnsi="Times New Roman"/>
          <w:b/>
          <w:i w:val="0"/>
          <w:sz w:val="24"/>
        </w:rPr>
        <w:t>SCHOOL OF TECHNOLOGY</w:t>
        <w:br/>
        <w:t>DEPARTMENT OF COMPUTER SCIENCE &amp; ENGINEERING</w:t>
        <w:br/>
        <w:t>THE APOLLO UNIVERSITY, CHITTOOR</w:t>
      </w:r>
    </w:p>
    <w:p>
      <w:pPr>
        <w:spacing w:before="80" w:after="0" w:line="360" w:lineRule="auto"/>
        <w:jc w:val="center"/>
      </w:pPr>
      <w:r>
        <w:rPr>
          <w:rFonts w:ascii="Times New Roman" w:hAnsi="Times New Roman"/>
          <w:b/>
          <w:i w:val="0"/>
          <w:sz w:val="24"/>
        </w:rPr>
        <w:t>April, 2026</w:t>
      </w:r>
    </w:p>
    <w:p>
      <w:r>
        <w:br w:type="page"/>
      </w:r>
    </w:p>
    <w:p>
      <w:pPr>
        <w:spacing w:before="320" w:after="280" w:line="360" w:lineRule="auto"/>
        <w:jc w:val="center"/>
      </w:pPr>
      <w:r>
        <w:rPr>
          <w:rFonts w:ascii="Times New Roman" w:hAnsi="Times New Roman"/>
          <w:b/>
          <w:i w:val="0"/>
          <w:color w:val="1E3A8A"/>
          <w:sz w:val="32"/>
        </w:rPr>
        <w:t>DECLARATION</w:t>
      </w:r>
    </w:p>
    <w:p>
      <w:pPr>
        <w:spacing w:before="240" w:after="400" w:line="360" w:lineRule="auto"/>
        <w:jc w:val="both"/>
      </w:pPr>
      <w:r>
        <w:rPr>
          <w:rFonts w:ascii="Times New Roman" w:hAnsi="Times New Roman"/>
          <w:b w:val="0"/>
          <w:i w:val="0"/>
          <w:sz w:val="24"/>
        </w:rPr>
        <w:t>We hereby declare that the project entitled “INSTAHEALTH: A PRIVACY-PRESERVING ZERO-CLOUD ON-DEVICE SMARTWATCH HEALTH INTELLIGENCE SYSTEM WITH ADAPTIVE MULTI-PROFILE PHYSIOLOGICAL MODELING” submitted by us, for the award of the degree of Bachelor of Technology in Computer Science &amp; Engineering, School of Technology to The Apollo University is a record of bonafide work carried out by us under the supervision of Dr. S. Ramesh Kumar, Associate Professor, Department of Computer Science &amp; Engineering.</w:t>
        <w:br/>
        <w:br/>
        <w:t>We further declare that the work reported in this thesis has not been submitted and will not be submitted, either in part or in full, for the award of any other degree or diploma in this institute or any other institute or university.</w:t>
      </w:r>
    </w:p>
    <w:p>
      <w:pPr>
        <w:spacing w:before="480" w:after="240" w:line="360" w:lineRule="auto"/>
        <w:jc w:val="both"/>
      </w:pPr>
      <w:r>
        <w:rPr>
          <w:rFonts w:ascii="Times New Roman" w:hAnsi="Times New Roman"/>
          <w:b/>
          <w:i w:val="0"/>
          <w:sz w:val="24"/>
        </w:rPr>
        <w:t>Signature of the Candidate(s) with names:</w:t>
      </w:r>
    </w:p>
    <w:p>
      <w:pPr>
        <w:spacing w:before="120" w:after="120" w:line="360" w:lineRule="auto"/>
        <w:jc w:val="both"/>
      </w:pPr>
      <w:r>
        <w:rPr>
          <w:rFonts w:ascii="Times New Roman" w:hAnsi="Times New Roman"/>
          <w:b w:val="0"/>
          <w:i w:val="0"/>
          <w:sz w:val="22"/>
        </w:rPr>
        <w:t>1. JATHIN REDDY (22BCE10001)  ____________________________________</w:t>
      </w:r>
    </w:p>
    <w:p>
      <w:pPr>
        <w:spacing w:before="120" w:after="120" w:line="360" w:lineRule="auto"/>
        <w:jc w:val="both"/>
      </w:pPr>
      <w:r>
        <w:rPr>
          <w:rFonts w:ascii="Times New Roman" w:hAnsi="Times New Roman"/>
          <w:b w:val="0"/>
          <w:i w:val="0"/>
          <w:sz w:val="22"/>
        </w:rPr>
        <w:t>2. STUDENT 2 (22BCE10002)  ____________________________________</w:t>
      </w:r>
    </w:p>
    <w:p>
      <w:pPr>
        <w:spacing w:before="120" w:after="120" w:line="360" w:lineRule="auto"/>
        <w:jc w:val="both"/>
      </w:pPr>
      <w:r>
        <w:rPr>
          <w:rFonts w:ascii="Times New Roman" w:hAnsi="Times New Roman"/>
          <w:b w:val="0"/>
          <w:i w:val="0"/>
          <w:sz w:val="22"/>
        </w:rPr>
        <w:t>3. STUDENT 3 (22BCE10003)  ____________________________________</w:t>
      </w:r>
    </w:p>
    <w:p>
      <w:pPr>
        <w:spacing w:before="120" w:after="120" w:line="360" w:lineRule="auto"/>
        <w:jc w:val="both"/>
      </w:pPr>
      <w:r>
        <w:rPr>
          <w:rFonts w:ascii="Times New Roman" w:hAnsi="Times New Roman"/>
          <w:b w:val="0"/>
          <w:i w:val="0"/>
          <w:sz w:val="22"/>
        </w:rPr>
        <w:t>4. STUDENT 4 (22BCE10004)  ____________________________________</w:t>
      </w:r>
    </w:p>
    <w:p>
      <w:pPr>
        <w:spacing w:before="480" w:after="40" w:line="360" w:lineRule="auto"/>
        <w:jc w:val="both"/>
      </w:pPr>
      <w:r>
        <w:rPr>
          <w:rFonts w:ascii="Times New Roman" w:hAnsi="Times New Roman"/>
          <w:b w:val="0"/>
          <w:i w:val="0"/>
          <w:sz w:val="24"/>
        </w:rPr>
        <w:t>Place : Chittoor</w:t>
      </w:r>
    </w:p>
    <w:p>
      <w:pPr>
        <w:spacing w:before="40" w:after="0" w:line="360" w:lineRule="auto"/>
        <w:jc w:val="both"/>
      </w:pPr>
      <w:r>
        <w:rPr>
          <w:rFonts w:ascii="Times New Roman" w:hAnsi="Times New Roman"/>
          <w:b w:val="0"/>
          <w:i w:val="0"/>
          <w:sz w:val="24"/>
        </w:rPr>
        <w:t>Date  : April, 2026</w:t>
      </w:r>
    </w:p>
    <w:p>
      <w:r>
        <w:br w:type="page"/>
      </w:r>
    </w:p>
    <w:p>
      <w:pPr>
        <w:spacing w:before="240" w:after="280" w:line="312" w:lineRule="auto"/>
        <w:jc w:val="center"/>
      </w:pPr>
      <w:r>
        <w:rPr>
          <w:rFonts w:ascii="Times New Roman" w:hAnsi="Times New Roman"/>
          <w:b/>
          <w:i w:val="0"/>
          <w:sz w:val="26"/>
        </w:rPr>
        <w:t>THE APOLLO UNIVERSITY, CHITTOOR</w:t>
        <w:br/>
        <w:t>SCHOOL OF TECHNOLOGY</w:t>
      </w:r>
    </w:p>
    <w:p>
      <w:pPr>
        <w:spacing w:before="320" w:after="280" w:line="360" w:lineRule="auto"/>
        <w:jc w:val="center"/>
      </w:pPr>
      <w:r>
        <w:rPr>
          <w:rFonts w:ascii="Times New Roman" w:hAnsi="Times New Roman"/>
          <w:b/>
          <w:i w:val="0"/>
          <w:color w:val="1E3A8A"/>
          <w:sz w:val="32"/>
        </w:rPr>
        <w:t>BONAFIDE CERTIFICATE</w:t>
      </w:r>
    </w:p>
    <w:p>
      <w:pPr>
        <w:spacing w:before="280" w:after="480" w:line="360" w:lineRule="auto"/>
        <w:jc w:val="both"/>
      </w:pPr>
      <w:r>
        <w:rPr>
          <w:rFonts w:ascii="Times New Roman" w:hAnsi="Times New Roman"/>
          <w:b w:val="0"/>
          <w:i w:val="0"/>
          <w:sz w:val="24"/>
        </w:rPr>
        <w:t>This is to certify that the project report entitled “INSTAHEALTH: A PRIVACY-PRESERVING ZERO-CLOUD ON-DEVICE SMARTWATCH HEALTH INTELLIGENCE SYSTEM WITH ADAPTIVE MULTI-PROFILE PHYSIOLOGICAL MODELING” is the bonafide work carried out by JATHIN REDDY (Register No: 22BCE10001), STUDENT 2 (Register No: 22BCE10002), STUDENT 3 (Register No: 22BCE10003), and STUDENT 4 (Register No: 22BCE10004), under my supervision and guidance, in partial fulfillment of the requirements for the award of the degree of Bachelor of Technology in Computer Science &amp; Engineering by The Apollo University, Chittoor.</w:t>
      </w:r>
    </w:p>
    <w:p>
      <w:pPr>
        <w:spacing w:before="480" w:after="720" w:line="288" w:lineRule="auto"/>
        <w:jc w:val="right"/>
      </w:pPr>
      <w:r>
        <w:rPr>
          <w:rFonts w:ascii="Times New Roman" w:hAnsi="Times New Roman"/>
          <w:b/>
          <w:i w:val="0"/>
          <w:sz w:val="22"/>
        </w:rPr>
        <w:t>Signature of the Guide</w:t>
        <w:br/>
        <w:t>Dr. S. Ramesh Kumar, M.Tech., Ph.D.</w:t>
        <w:br/>
        <w:t>Associate Professor, Dept. of CSE</w:t>
      </w:r>
    </w:p>
    <w:tbl>
      <w:tblPr>
        <w:tblW w:type="auto" w:w="0"/>
        <w:jc w:val="center"/>
        <w:tblLook w:firstColumn="1" w:firstRow="1" w:lastColumn="0" w:lastRow="0" w:noHBand="0" w:noVBand="1" w:val="04A0"/>
      </w:tblPr>
      <w:tblGrid>
        <w:gridCol w:w="4500"/>
        <w:gridCol w:w="4500"/>
      </w:tblGrid>
      <w:tr>
        <w:tc>
          <w:tcPr>
            <w:tcW w:type="dxa" w:w="4500"/>
          </w:tcPr>
          <w:p>
            <w:pPr>
              <w:spacing w:line="288" w:lineRule="auto"/>
              <w:jc w:val="left"/>
            </w:pPr>
            <w:r>
              <w:rPr>
                <w:rFonts w:ascii="Times New Roman" w:hAnsi="Times New Roman"/>
                <w:b/>
                <w:sz w:val="21"/>
              </w:rPr>
              <w:t>Program Coordinator</w:t>
              <w:br/>
              <w:t>Dept. of Computer Science &amp; Engineering</w:t>
              <w:br/>
              <w:t>School of Technology</w:t>
              <w:br/>
              <w:t>The Apollo University</w:t>
            </w:r>
          </w:p>
        </w:tc>
        <w:tc>
          <w:tcPr>
            <w:tcW w:type="dxa" w:w="4500"/>
          </w:tcPr>
          <w:p>
            <w:pPr>
              <w:spacing w:line="288" w:lineRule="auto"/>
              <w:jc w:val="right"/>
            </w:pPr>
            <w:r>
              <w:rPr>
                <w:rFonts w:ascii="Times New Roman" w:hAnsi="Times New Roman"/>
                <w:b/>
                <w:sz w:val="21"/>
              </w:rPr>
              <w:t>Prof. D. Jagadeesan, Ph.D.</w:t>
              <w:br/>
              <w:t>Dean, School of Technology</w:t>
              <w:br/>
              <w:t>The Apollo University</w:t>
            </w:r>
          </w:p>
        </w:tc>
      </w:tr>
    </w:tbl>
    <w:p>
      <w:pPr>
        <w:spacing w:before="960" w:after="0" w:line="360" w:lineRule="auto"/>
        <w:jc w:val="center"/>
      </w:pPr>
      <w:r>
        <w:rPr>
          <w:rFonts w:ascii="Times New Roman" w:hAnsi="Times New Roman"/>
          <w:b/>
          <w:i w:val="0"/>
          <w:sz w:val="22"/>
        </w:rPr>
        <w:t>Internal Examiner: _______________________      External Examiner: _______________________</w:t>
      </w:r>
    </w:p>
    <w:p>
      <w:r>
        <w:br w:type="page"/>
      </w:r>
    </w:p>
    <w:p>
      <w:pPr>
        <w:spacing w:before="320" w:after="280" w:line="360" w:lineRule="auto"/>
        <w:jc w:val="center"/>
      </w:pPr>
      <w:r>
        <w:rPr>
          <w:rFonts w:ascii="Times New Roman" w:hAnsi="Times New Roman"/>
          <w:b/>
          <w:i w:val="0"/>
          <w:color w:val="1E3A8A"/>
          <w:sz w:val="32"/>
        </w:rPr>
        <w:t>ACKNOWLEDGEMENT</w:t>
      </w:r>
    </w:p>
    <w:p>
      <w:pPr>
        <w:spacing w:before="80" w:after="160" w:line="360" w:lineRule="auto"/>
        <w:jc w:val="both"/>
      </w:pPr>
      <w:r>
        <w:rPr>
          <w:rFonts w:ascii="Times New Roman" w:hAnsi="Times New Roman"/>
          <w:b w:val="0"/>
          <w:i w:val="0"/>
          <w:sz w:val="24"/>
        </w:rPr>
        <w:t>We express our sincere gratitude to our project guide Dr. S. Ramesh Kumar, Associate Professor, Department of Computer Science &amp; Engineering, School of Technology, The Apollo University, Chittoor, for his continuous guidance, valuable suggestions and constructive feedback throughout the course of this project. His academic rigor and support have been instrumental in the successful completion of this work.</w:t>
      </w:r>
    </w:p>
    <w:p>
      <w:pPr>
        <w:spacing w:before="80" w:after="160" w:line="360" w:lineRule="auto"/>
        <w:jc w:val="both"/>
      </w:pPr>
      <w:r>
        <w:rPr>
          <w:rFonts w:ascii="Times New Roman" w:hAnsi="Times New Roman"/>
          <w:b w:val="0"/>
          <w:i w:val="0"/>
          <w:sz w:val="24"/>
        </w:rPr>
        <w:t>We also thank the Project Coordinator, Department of Computer Science &amp; Engineering, School of Technology, The Apollo University for providing direction, structured milestone reviews, and invaluable technical counsel throughout the progression of this research.</w:t>
      </w:r>
    </w:p>
    <w:p>
      <w:pPr>
        <w:spacing w:before="80" w:after="160" w:line="360" w:lineRule="auto"/>
        <w:jc w:val="both"/>
      </w:pPr>
      <w:r>
        <w:rPr>
          <w:rFonts w:ascii="Times New Roman" w:hAnsi="Times New Roman"/>
          <w:b w:val="0"/>
          <w:i w:val="0"/>
          <w:sz w:val="24"/>
        </w:rPr>
        <w:t>We extend our heartfelt thanks to the Programme Coordinator, Department of Computer Science &amp; Engineering, School of Technology, The Apollo University for providing the necessary academic support, laboratories, and computing infrastructure to carry out this project effectively.</w:t>
      </w:r>
    </w:p>
    <w:p>
      <w:pPr>
        <w:spacing w:before="80" w:after="160" w:line="360" w:lineRule="auto"/>
        <w:jc w:val="both"/>
      </w:pPr>
      <w:r>
        <w:rPr>
          <w:rFonts w:ascii="Times New Roman" w:hAnsi="Times New Roman"/>
          <w:b w:val="0"/>
          <w:i w:val="0"/>
          <w:sz w:val="24"/>
        </w:rPr>
        <w:t>We convey our sincere thanks to Prof. D. Jagadeesan, Dean, School of Technology, for his encouragement, leadership, and administrative support throughout the tenure of our project work.</w:t>
      </w:r>
    </w:p>
    <w:p>
      <w:pPr>
        <w:spacing w:before="80" w:after="160" w:line="360" w:lineRule="auto"/>
        <w:jc w:val="both"/>
      </w:pPr>
      <w:r>
        <w:rPr>
          <w:rFonts w:ascii="Times New Roman" w:hAnsi="Times New Roman"/>
          <w:b w:val="0"/>
          <w:i w:val="0"/>
          <w:sz w:val="24"/>
        </w:rPr>
        <w:t>We express our profound gratitude to the Honourable Chancellor Emeritus Dr. Prathap C. Reddy, Dr. H. Vinod Bhat, Vice-Chancellor, and Prof. M. Potharaju, Registrar of The Apollo University for their visionary leadership, institutional inspiration, and continuous fostering of a vibrant research and innovation culture.</w:t>
      </w:r>
    </w:p>
    <w:p>
      <w:pPr>
        <w:spacing w:before="80" w:after="160" w:line="360" w:lineRule="auto"/>
        <w:jc w:val="both"/>
      </w:pPr>
      <w:r>
        <w:rPr>
          <w:rFonts w:ascii="Times New Roman" w:hAnsi="Times New Roman"/>
          <w:b w:val="0"/>
          <w:i w:val="0"/>
          <w:sz w:val="24"/>
        </w:rPr>
        <w:t>We gratefully acknowledge the support of all faculty members and technical staff of the Department of Computer Science &amp; Engineering for their cooperation, critical reviews, and valuable inputs during the project period.</w:t>
      </w:r>
    </w:p>
    <w:p>
      <w:pPr>
        <w:spacing w:before="80" w:after="160" w:line="360" w:lineRule="auto"/>
        <w:jc w:val="both"/>
      </w:pPr>
      <w:r>
        <w:rPr>
          <w:rFonts w:ascii="Times New Roman" w:hAnsi="Times New Roman"/>
          <w:b w:val="0"/>
          <w:i w:val="0"/>
          <w:sz w:val="24"/>
        </w:rPr>
        <w:t>We also thank our fellow classmates, peers, and friends for their camaraderie, constructive debates, and collaborative assistance during the experimental benchmarking phases.</w:t>
      </w:r>
    </w:p>
    <w:p>
      <w:pPr>
        <w:spacing w:before="80" w:after="160" w:line="360" w:lineRule="auto"/>
        <w:jc w:val="both"/>
      </w:pPr>
      <w:r>
        <w:rPr>
          <w:rFonts w:ascii="Times New Roman" w:hAnsi="Times New Roman"/>
          <w:b w:val="0"/>
          <w:i w:val="0"/>
          <w:sz w:val="24"/>
        </w:rPr>
        <w:t>Finally, we express our deepest gratitude to our parents and family members for their unconditional love, moral support, patient understanding, and perpetual blessings throughout our academic journey.</w:t>
      </w:r>
    </w:p>
    <w:p>
      <w:pPr>
        <w:spacing w:before="320" w:after="80" w:line="360" w:lineRule="auto"/>
        <w:jc w:val="both"/>
      </w:pPr>
      <w:r>
        <w:rPr>
          <w:rFonts w:ascii="Times New Roman" w:hAnsi="Times New Roman"/>
          <w:b/>
          <w:i w:val="0"/>
          <w:sz w:val="22"/>
        </w:rPr>
        <w:t>Candidates:</w:t>
      </w:r>
    </w:p>
    <w:p>
      <w:pPr>
        <w:spacing w:before="40" w:after="40" w:line="360" w:lineRule="auto"/>
        <w:jc w:val="both"/>
      </w:pPr>
      <w:r>
        <w:rPr>
          <w:rFonts w:ascii="Times New Roman" w:hAnsi="Times New Roman"/>
          <w:b w:val="0"/>
          <w:i/>
          <w:sz w:val="22"/>
        </w:rPr>
        <w:t>JATHIN REDDY (22BCE10001)</w:t>
      </w:r>
    </w:p>
    <w:p>
      <w:pPr>
        <w:spacing w:before="40" w:after="40" w:line="360" w:lineRule="auto"/>
        <w:jc w:val="both"/>
      </w:pPr>
      <w:r>
        <w:rPr>
          <w:rFonts w:ascii="Times New Roman" w:hAnsi="Times New Roman"/>
          <w:b w:val="0"/>
          <w:i/>
          <w:sz w:val="22"/>
        </w:rPr>
        <w:t>STUDENT 2 (22BCE10002)</w:t>
      </w:r>
    </w:p>
    <w:p>
      <w:pPr>
        <w:spacing w:before="40" w:after="40" w:line="360" w:lineRule="auto"/>
        <w:jc w:val="both"/>
      </w:pPr>
      <w:r>
        <w:rPr>
          <w:rFonts w:ascii="Times New Roman" w:hAnsi="Times New Roman"/>
          <w:b w:val="0"/>
          <w:i/>
          <w:sz w:val="22"/>
        </w:rPr>
        <w:t>STUDENT 3 (22BCE10003)</w:t>
      </w:r>
    </w:p>
    <w:p>
      <w:pPr>
        <w:spacing w:before="40" w:after="40" w:line="360" w:lineRule="auto"/>
        <w:jc w:val="both"/>
      </w:pPr>
      <w:r>
        <w:rPr>
          <w:rFonts w:ascii="Times New Roman" w:hAnsi="Times New Roman"/>
          <w:b w:val="0"/>
          <w:i/>
          <w:sz w:val="22"/>
        </w:rPr>
        <w:t>STUDENT 4 (22BCE10004)</w:t>
      </w:r>
    </w:p>
    <w:p>
      <w:r>
        <w:br w:type="page"/>
      </w:r>
    </w:p>
    <w:p>
      <w:pPr>
        <w:spacing w:before="320" w:after="280" w:line="360" w:lineRule="auto"/>
        <w:jc w:val="center"/>
      </w:pPr>
      <w:r>
        <w:rPr>
          <w:rFonts w:ascii="Times New Roman" w:hAnsi="Times New Roman"/>
          <w:b/>
          <w:i w:val="0"/>
          <w:color w:val="1E3A8A"/>
          <w:sz w:val="32"/>
        </w:rPr>
        <w:t>TABLE OF CONTENTS</w:t>
      </w:r>
    </w:p>
    <w:tbl>
      <w:tblPr>
        <w:tblW w:type="auto" w:w="0"/>
        <w:jc w:val="center"/>
        <w:tblLook w:firstColumn="1" w:firstRow="1" w:lastColumn="0" w:lastRow="0" w:noHBand="0" w:noVBand="1" w:val="04A0"/>
        <w:tblBorders>
          <w:top w:val="single" w:sz="2" w:space="0" w:color="CBD5E1"/>
          <w:bottom w:val="single" w:sz="2" w:space="0" w:color="CBD5E1"/>
          <w:insideH w:val="single" w:sz="2" w:space="0" w:color="CBD5E1"/>
          <w:left w:val="none"/>
          <w:right w:val="none"/>
          <w:insideV w:val="none"/>
        </w:tblBorders>
      </w:tblPr>
      <w:tblGrid>
        <w:gridCol w:w="3000"/>
        <w:gridCol w:w="3000"/>
        <w:gridCol w:w="3000"/>
      </w:tblGrid>
      <w:tr>
        <w:tc>
          <w:tcPr>
            <w:tcW w:type="dxa" w:w="3000"/>
            <w:shd w:fill="1E3A8A"/>
          </w:tcPr>
          <w:p>
            <w:r>
              <w:rPr>
                <w:rFonts w:ascii="Times New Roman" w:hAnsi="Times New Roman"/>
                <w:b/>
                <w:color w:val="FFFFFF"/>
                <w:sz w:val="20"/>
              </w:rPr>
              <w:t>Chapter / Section Title</w:t>
            </w:r>
          </w:p>
        </w:tc>
        <w:tc>
          <w:tcPr>
            <w:tcW w:type="dxa" w:w="3000"/>
            <w:shd w:fill="1E3A8A"/>
          </w:tcPr>
          <w:p>
            <w:r>
              <w:rPr>
                <w:rFonts w:ascii="Times New Roman" w:hAnsi="Times New Roman"/>
                <w:b/>
                <w:color w:val="FFFFFF"/>
                <w:sz w:val="20"/>
              </w:rPr>
              <w:t>Section</w:t>
            </w:r>
          </w:p>
        </w:tc>
        <w:tc>
          <w:tcPr>
            <w:tcW w:type="dxa" w:w="3000"/>
            <w:shd w:fill="1E3A8A"/>
          </w:tcPr>
          <w:p>
            <w:r>
              <w:rPr>
                <w:rFonts w:ascii="Times New Roman" w:hAnsi="Times New Roman"/>
                <w:b/>
                <w:color w:val="FFFFFF"/>
                <w:sz w:val="20"/>
              </w:rPr>
              <w:t>Page No.</w:t>
            </w:r>
          </w:p>
        </w:tc>
      </w:tr>
      <w:tr>
        <w:tc>
          <w:tcPr>
            <w:tcW w:type="dxa" w:w="3000"/>
            <w:shd w:fill="FFFFFF"/>
            <w:tcMar>
              <w:top w:w="40" w:type="dxa"/>
              <w:bottom w:w="40" w:type="dxa"/>
              <w:left w:w="80" w:type="dxa"/>
              <w:right w:w="80" w:type="dxa"/>
            </w:tcMar>
          </w:tcPr>
          <w:p>
            <w:pPr>
              <w:spacing w:line="276" w:lineRule="auto"/>
            </w:pPr>
            <w:r>
              <w:rPr>
                <w:rFonts w:ascii="Times New Roman" w:hAnsi="Times New Roman"/>
                <w:b/>
                <w:sz w:val="19"/>
              </w:rPr>
              <w:t>DECLARATION</w:t>
            </w:r>
          </w:p>
        </w:tc>
        <w:tc>
          <w:tcPr>
            <w:tcW w:type="dxa" w:w="3000"/>
            <w:shd w:fill="FFFFFF"/>
            <w:tcMar>
              <w:top w:w="40" w:type="dxa"/>
              <w:bottom w:w="40" w:type="dxa"/>
              <w:left w:w="80" w:type="dxa"/>
              <w:right w:w="80" w:type="dxa"/>
            </w:tcMar>
          </w:tcPr>
          <w:p>
            <w:pPr>
              <w:jc w:val="center"/>
            </w:pPr>
            <w:r>
              <w:rPr>
                <w:rFonts w:ascii="Times New Roman" w:hAnsi="Times New Roman"/>
                <w:sz w:val="19"/>
              </w:rPr>
            </w:r>
          </w:p>
        </w:tc>
        <w:tc>
          <w:tcPr>
            <w:tcW w:type="dxa" w:w="3000"/>
            <w:shd w:fill="FFFFFF"/>
            <w:tcMar>
              <w:top w:w="40" w:type="dxa"/>
              <w:bottom w:w="40" w:type="dxa"/>
              <w:left w:w="80" w:type="dxa"/>
              <w:right w:w="80" w:type="dxa"/>
            </w:tcMar>
          </w:tcPr>
          <w:p>
            <w:pPr>
              <w:jc w:val="right"/>
            </w:pPr>
            <w:r>
              <w:rPr>
                <w:rFonts w:ascii="Times New Roman" w:hAnsi="Times New Roman"/>
                <w:sz w:val="19"/>
              </w:rPr>
              <w:t>ii</w:t>
            </w:r>
          </w:p>
        </w:tc>
      </w:tr>
      <w:tr>
        <w:tc>
          <w:tcPr>
            <w:tcW w:type="dxa" w:w="3000"/>
            <w:shd w:fill="F8FAFC"/>
            <w:tcMar>
              <w:top w:w="40" w:type="dxa"/>
              <w:bottom w:w="40" w:type="dxa"/>
              <w:left w:w="80" w:type="dxa"/>
              <w:right w:w="80" w:type="dxa"/>
            </w:tcMar>
          </w:tcPr>
          <w:p>
            <w:pPr>
              <w:spacing w:line="276" w:lineRule="auto"/>
            </w:pPr>
            <w:r>
              <w:rPr>
                <w:rFonts w:ascii="Times New Roman" w:hAnsi="Times New Roman"/>
                <w:b/>
                <w:sz w:val="19"/>
              </w:rPr>
              <w:t>BONAFIDE CERTIFICATE</w:t>
            </w:r>
          </w:p>
        </w:tc>
        <w:tc>
          <w:tcPr>
            <w:tcW w:type="dxa" w:w="3000"/>
            <w:shd w:fill="F8FAFC"/>
            <w:tcMar>
              <w:top w:w="40" w:type="dxa"/>
              <w:bottom w:w="40" w:type="dxa"/>
              <w:left w:w="80" w:type="dxa"/>
              <w:right w:w="80" w:type="dxa"/>
            </w:tcMar>
          </w:tcPr>
          <w:p>
            <w:pPr>
              <w:jc w:val="center"/>
            </w:pPr>
            <w:r>
              <w:rPr>
                <w:rFonts w:ascii="Times New Roman" w:hAnsi="Times New Roman"/>
                <w:sz w:val="19"/>
              </w:rPr>
            </w:r>
          </w:p>
        </w:tc>
        <w:tc>
          <w:tcPr>
            <w:tcW w:type="dxa" w:w="3000"/>
            <w:shd w:fill="F8FAFC"/>
            <w:tcMar>
              <w:top w:w="40" w:type="dxa"/>
              <w:bottom w:w="40" w:type="dxa"/>
              <w:left w:w="80" w:type="dxa"/>
              <w:right w:w="80" w:type="dxa"/>
            </w:tcMar>
          </w:tcPr>
          <w:p>
            <w:pPr>
              <w:jc w:val="right"/>
            </w:pPr>
            <w:r>
              <w:rPr>
                <w:rFonts w:ascii="Times New Roman" w:hAnsi="Times New Roman"/>
                <w:sz w:val="19"/>
              </w:rPr>
              <w:t>iii</w:t>
            </w:r>
          </w:p>
        </w:tc>
      </w:tr>
      <w:tr>
        <w:tc>
          <w:tcPr>
            <w:tcW w:type="dxa" w:w="3000"/>
            <w:shd w:fill="FFFFFF"/>
            <w:tcMar>
              <w:top w:w="40" w:type="dxa"/>
              <w:bottom w:w="40" w:type="dxa"/>
              <w:left w:w="80" w:type="dxa"/>
              <w:right w:w="80" w:type="dxa"/>
            </w:tcMar>
          </w:tcPr>
          <w:p>
            <w:pPr>
              <w:spacing w:line="276" w:lineRule="auto"/>
            </w:pPr>
            <w:r>
              <w:rPr>
                <w:rFonts w:ascii="Times New Roman" w:hAnsi="Times New Roman"/>
                <w:b/>
                <w:sz w:val="19"/>
              </w:rPr>
              <w:t>ACKNOWLEDGEMENT</w:t>
            </w:r>
          </w:p>
        </w:tc>
        <w:tc>
          <w:tcPr>
            <w:tcW w:type="dxa" w:w="3000"/>
            <w:shd w:fill="FFFFFF"/>
            <w:tcMar>
              <w:top w:w="40" w:type="dxa"/>
              <w:bottom w:w="40" w:type="dxa"/>
              <w:left w:w="80" w:type="dxa"/>
              <w:right w:w="80" w:type="dxa"/>
            </w:tcMar>
          </w:tcPr>
          <w:p>
            <w:pPr>
              <w:jc w:val="center"/>
            </w:pPr>
            <w:r>
              <w:rPr>
                <w:rFonts w:ascii="Times New Roman" w:hAnsi="Times New Roman"/>
                <w:sz w:val="19"/>
              </w:rPr>
            </w:r>
          </w:p>
        </w:tc>
        <w:tc>
          <w:tcPr>
            <w:tcW w:type="dxa" w:w="3000"/>
            <w:shd w:fill="FFFFFF"/>
            <w:tcMar>
              <w:top w:w="40" w:type="dxa"/>
              <w:bottom w:w="40" w:type="dxa"/>
              <w:left w:w="80" w:type="dxa"/>
              <w:right w:w="80" w:type="dxa"/>
            </w:tcMar>
          </w:tcPr>
          <w:p>
            <w:pPr>
              <w:jc w:val="right"/>
            </w:pPr>
            <w:r>
              <w:rPr>
                <w:rFonts w:ascii="Times New Roman" w:hAnsi="Times New Roman"/>
                <w:sz w:val="19"/>
              </w:rPr>
              <w:t>iv</w:t>
            </w:r>
          </w:p>
        </w:tc>
      </w:tr>
      <w:tr>
        <w:tc>
          <w:tcPr>
            <w:tcW w:type="dxa" w:w="3000"/>
            <w:shd w:fill="F8FAFC"/>
            <w:tcMar>
              <w:top w:w="40" w:type="dxa"/>
              <w:bottom w:w="40" w:type="dxa"/>
              <w:left w:w="80" w:type="dxa"/>
              <w:right w:w="80" w:type="dxa"/>
            </w:tcMar>
          </w:tcPr>
          <w:p>
            <w:pPr>
              <w:spacing w:line="276" w:lineRule="auto"/>
            </w:pPr>
            <w:r>
              <w:rPr>
                <w:rFonts w:ascii="Times New Roman" w:hAnsi="Times New Roman"/>
                <w:b/>
                <w:sz w:val="19"/>
              </w:rPr>
              <w:t>ABSTRACT</w:t>
            </w:r>
          </w:p>
        </w:tc>
        <w:tc>
          <w:tcPr>
            <w:tcW w:type="dxa" w:w="3000"/>
            <w:shd w:fill="F8FAFC"/>
            <w:tcMar>
              <w:top w:w="40" w:type="dxa"/>
              <w:bottom w:w="40" w:type="dxa"/>
              <w:left w:w="80" w:type="dxa"/>
              <w:right w:w="80" w:type="dxa"/>
            </w:tcMar>
          </w:tcPr>
          <w:p>
            <w:pPr>
              <w:jc w:val="center"/>
            </w:pPr>
            <w:r>
              <w:rPr>
                <w:rFonts w:ascii="Times New Roman" w:hAnsi="Times New Roman"/>
                <w:sz w:val="19"/>
              </w:rPr>
            </w:r>
          </w:p>
        </w:tc>
        <w:tc>
          <w:tcPr>
            <w:tcW w:type="dxa" w:w="3000"/>
            <w:shd w:fill="F8FAFC"/>
            <w:tcMar>
              <w:top w:w="40" w:type="dxa"/>
              <w:bottom w:w="40" w:type="dxa"/>
              <w:left w:w="80" w:type="dxa"/>
              <w:right w:w="80" w:type="dxa"/>
            </w:tcMar>
          </w:tcPr>
          <w:p>
            <w:pPr>
              <w:jc w:val="right"/>
            </w:pPr>
            <w:r>
              <w:rPr>
                <w:rFonts w:ascii="Times New Roman" w:hAnsi="Times New Roman"/>
                <w:sz w:val="19"/>
              </w:rPr>
              <w:t>I</w:t>
            </w:r>
          </w:p>
        </w:tc>
      </w:tr>
      <w:tr>
        <w:tc>
          <w:tcPr>
            <w:tcW w:type="dxa" w:w="3000"/>
            <w:shd w:fill="FFFFFF"/>
            <w:tcMar>
              <w:top w:w="40" w:type="dxa"/>
              <w:bottom w:w="40" w:type="dxa"/>
              <w:left w:w="80" w:type="dxa"/>
              <w:right w:w="80" w:type="dxa"/>
            </w:tcMar>
          </w:tcPr>
          <w:p>
            <w:pPr>
              <w:spacing w:line="276" w:lineRule="auto"/>
            </w:pPr>
            <w:r>
              <w:rPr>
                <w:rFonts w:ascii="Times New Roman" w:hAnsi="Times New Roman"/>
                <w:b/>
                <w:sz w:val="19"/>
              </w:rPr>
              <w:t>LIST OF FIGURES</w:t>
            </w:r>
          </w:p>
        </w:tc>
        <w:tc>
          <w:tcPr>
            <w:tcW w:type="dxa" w:w="3000"/>
            <w:shd w:fill="FFFFFF"/>
            <w:tcMar>
              <w:top w:w="40" w:type="dxa"/>
              <w:bottom w:w="40" w:type="dxa"/>
              <w:left w:w="80" w:type="dxa"/>
              <w:right w:w="80" w:type="dxa"/>
            </w:tcMar>
          </w:tcPr>
          <w:p>
            <w:pPr>
              <w:jc w:val="center"/>
            </w:pPr>
            <w:r>
              <w:rPr>
                <w:rFonts w:ascii="Times New Roman" w:hAnsi="Times New Roman"/>
                <w:sz w:val="19"/>
              </w:rPr>
            </w:r>
          </w:p>
        </w:tc>
        <w:tc>
          <w:tcPr>
            <w:tcW w:type="dxa" w:w="3000"/>
            <w:shd w:fill="FFFFFF"/>
            <w:tcMar>
              <w:top w:w="40" w:type="dxa"/>
              <w:bottom w:w="40" w:type="dxa"/>
              <w:left w:w="80" w:type="dxa"/>
              <w:right w:w="80" w:type="dxa"/>
            </w:tcMar>
          </w:tcPr>
          <w:p>
            <w:pPr>
              <w:jc w:val="right"/>
            </w:pPr>
            <w:r>
              <w:rPr>
                <w:rFonts w:ascii="Times New Roman" w:hAnsi="Times New Roman"/>
                <w:sz w:val="19"/>
              </w:rPr>
              <w:t>II</w:t>
            </w:r>
          </w:p>
        </w:tc>
      </w:tr>
      <w:tr>
        <w:tc>
          <w:tcPr>
            <w:tcW w:type="dxa" w:w="3000"/>
            <w:shd w:fill="F8FAFC"/>
            <w:tcMar>
              <w:top w:w="40" w:type="dxa"/>
              <w:bottom w:w="40" w:type="dxa"/>
              <w:left w:w="80" w:type="dxa"/>
              <w:right w:w="80" w:type="dxa"/>
            </w:tcMar>
          </w:tcPr>
          <w:p>
            <w:pPr>
              <w:spacing w:line="276" w:lineRule="auto"/>
            </w:pPr>
            <w:r>
              <w:rPr>
                <w:rFonts w:ascii="Times New Roman" w:hAnsi="Times New Roman"/>
                <w:b/>
                <w:sz w:val="19"/>
              </w:rPr>
              <w:t>LIST OF TABLES</w:t>
            </w:r>
          </w:p>
        </w:tc>
        <w:tc>
          <w:tcPr>
            <w:tcW w:type="dxa" w:w="3000"/>
            <w:shd w:fill="F8FAFC"/>
            <w:tcMar>
              <w:top w:w="40" w:type="dxa"/>
              <w:bottom w:w="40" w:type="dxa"/>
              <w:left w:w="80" w:type="dxa"/>
              <w:right w:w="80" w:type="dxa"/>
            </w:tcMar>
          </w:tcPr>
          <w:p>
            <w:pPr>
              <w:jc w:val="center"/>
            </w:pPr>
            <w:r>
              <w:rPr>
                <w:rFonts w:ascii="Times New Roman" w:hAnsi="Times New Roman"/>
                <w:sz w:val="19"/>
              </w:rPr>
            </w:r>
          </w:p>
        </w:tc>
        <w:tc>
          <w:tcPr>
            <w:tcW w:type="dxa" w:w="3000"/>
            <w:shd w:fill="F8FAFC"/>
            <w:tcMar>
              <w:top w:w="40" w:type="dxa"/>
              <w:bottom w:w="40" w:type="dxa"/>
              <w:left w:w="80" w:type="dxa"/>
              <w:right w:w="80" w:type="dxa"/>
            </w:tcMar>
          </w:tcPr>
          <w:p>
            <w:pPr>
              <w:jc w:val="right"/>
            </w:pPr>
            <w:r>
              <w:rPr>
                <w:rFonts w:ascii="Times New Roman" w:hAnsi="Times New Roman"/>
                <w:sz w:val="19"/>
              </w:rPr>
              <w:t>III</w:t>
            </w:r>
          </w:p>
        </w:tc>
      </w:tr>
      <w:tr>
        <w:tc>
          <w:tcPr>
            <w:tcW w:type="dxa" w:w="3000"/>
            <w:shd w:fill="FFFFFF"/>
            <w:tcMar>
              <w:top w:w="40" w:type="dxa"/>
              <w:bottom w:w="40" w:type="dxa"/>
              <w:left w:w="80" w:type="dxa"/>
              <w:right w:w="80" w:type="dxa"/>
            </w:tcMar>
          </w:tcPr>
          <w:p>
            <w:pPr>
              <w:spacing w:line="276" w:lineRule="auto"/>
            </w:pPr>
            <w:r>
              <w:rPr>
                <w:rFonts w:ascii="Times New Roman" w:hAnsi="Times New Roman"/>
                <w:b/>
                <w:sz w:val="19"/>
              </w:rPr>
              <w:t>LIST OF ABBREVIATIONS</w:t>
            </w:r>
          </w:p>
        </w:tc>
        <w:tc>
          <w:tcPr>
            <w:tcW w:type="dxa" w:w="3000"/>
            <w:shd w:fill="FFFFFF"/>
            <w:tcMar>
              <w:top w:w="40" w:type="dxa"/>
              <w:bottom w:w="40" w:type="dxa"/>
              <w:left w:w="80" w:type="dxa"/>
              <w:right w:w="80" w:type="dxa"/>
            </w:tcMar>
          </w:tcPr>
          <w:p>
            <w:pPr>
              <w:jc w:val="center"/>
            </w:pPr>
            <w:r>
              <w:rPr>
                <w:rFonts w:ascii="Times New Roman" w:hAnsi="Times New Roman"/>
                <w:sz w:val="19"/>
              </w:rPr>
            </w:r>
          </w:p>
        </w:tc>
        <w:tc>
          <w:tcPr>
            <w:tcW w:type="dxa" w:w="3000"/>
            <w:shd w:fill="FFFFFF"/>
            <w:tcMar>
              <w:top w:w="40" w:type="dxa"/>
              <w:bottom w:w="40" w:type="dxa"/>
              <w:left w:w="80" w:type="dxa"/>
              <w:right w:w="80" w:type="dxa"/>
            </w:tcMar>
          </w:tcPr>
          <w:p>
            <w:pPr>
              <w:jc w:val="right"/>
            </w:pPr>
            <w:r>
              <w:rPr>
                <w:rFonts w:ascii="Times New Roman" w:hAnsi="Times New Roman"/>
                <w:sz w:val="19"/>
              </w:rPr>
              <w:t>IV</w:t>
            </w:r>
          </w:p>
        </w:tc>
      </w:tr>
      <w:tr>
        <w:tc>
          <w:tcPr>
            <w:tcW w:type="dxa" w:w="3000"/>
            <w:shd w:fill="F8FAFC"/>
            <w:tcMar>
              <w:top w:w="40" w:type="dxa"/>
              <w:bottom w:w="40" w:type="dxa"/>
              <w:left w:w="80" w:type="dxa"/>
              <w:right w:w="80" w:type="dxa"/>
            </w:tcMar>
          </w:tcPr>
          <w:p>
            <w:pPr>
              <w:spacing w:line="276" w:lineRule="auto"/>
            </w:pPr>
            <w:r>
              <w:rPr>
                <w:rFonts w:ascii="Times New Roman" w:hAnsi="Times New Roman"/>
                <w:b/>
                <w:sz w:val="19"/>
              </w:rPr>
              <w:t>CHAPTER 1: INTRODUCTION</w:t>
            </w:r>
          </w:p>
        </w:tc>
        <w:tc>
          <w:tcPr>
            <w:tcW w:type="dxa" w:w="3000"/>
            <w:shd w:fill="F8FAFC"/>
            <w:tcMar>
              <w:top w:w="40" w:type="dxa"/>
              <w:bottom w:w="40" w:type="dxa"/>
              <w:left w:w="80" w:type="dxa"/>
              <w:right w:w="80" w:type="dxa"/>
            </w:tcMar>
          </w:tcPr>
          <w:p>
            <w:pPr>
              <w:jc w:val="center"/>
            </w:pPr>
            <w:r>
              <w:rPr>
                <w:rFonts w:ascii="Times New Roman" w:hAnsi="Times New Roman"/>
                <w:sz w:val="19"/>
              </w:rPr>
            </w:r>
          </w:p>
        </w:tc>
        <w:tc>
          <w:tcPr>
            <w:tcW w:type="dxa" w:w="3000"/>
            <w:shd w:fill="F8FAFC"/>
            <w:tcMar>
              <w:top w:w="40" w:type="dxa"/>
              <w:bottom w:w="40" w:type="dxa"/>
              <w:left w:w="80" w:type="dxa"/>
              <w:right w:w="80" w:type="dxa"/>
            </w:tcMar>
          </w:tcPr>
          <w:p>
            <w:pPr>
              <w:jc w:val="right"/>
            </w:pPr>
            <w:r>
              <w:rPr>
                <w:rFonts w:ascii="Times New Roman" w:hAnsi="Times New Roman"/>
                <w:b/>
                <w:sz w:val="19"/>
              </w:rPr>
              <w:t>1</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1.1 Background and Context</w:t>
            </w:r>
          </w:p>
        </w:tc>
        <w:tc>
          <w:tcPr>
            <w:tcW w:type="dxa" w:w="3000"/>
            <w:shd w:fill="FFFFFF"/>
            <w:tcMar>
              <w:top w:w="40" w:type="dxa"/>
              <w:bottom w:w="40" w:type="dxa"/>
              <w:left w:w="80" w:type="dxa"/>
              <w:right w:w="80" w:type="dxa"/>
            </w:tcMar>
          </w:tcPr>
          <w:p>
            <w:pPr>
              <w:jc w:val="center"/>
            </w:pPr>
            <w:r>
              <w:rPr>
                <w:rFonts w:ascii="Times New Roman" w:hAnsi="Times New Roman"/>
                <w:sz w:val="19"/>
              </w:rPr>
              <w:t>1.1</w:t>
            </w:r>
          </w:p>
        </w:tc>
        <w:tc>
          <w:tcPr>
            <w:tcW w:type="dxa" w:w="3000"/>
            <w:shd w:fill="FFFFFF"/>
            <w:tcMar>
              <w:top w:w="40" w:type="dxa"/>
              <w:bottom w:w="40" w:type="dxa"/>
              <w:left w:w="80" w:type="dxa"/>
              <w:right w:w="80" w:type="dxa"/>
            </w:tcMar>
          </w:tcPr>
          <w:p>
            <w:pPr>
              <w:jc w:val="right"/>
            </w:pPr>
            <w:r>
              <w:rPr>
                <w:rFonts w:ascii="Times New Roman" w:hAnsi="Times New Roman"/>
                <w:sz w:val="19"/>
              </w:rPr>
              <w:t>1</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1.2 Problem Statement</w:t>
            </w:r>
          </w:p>
        </w:tc>
        <w:tc>
          <w:tcPr>
            <w:tcW w:type="dxa" w:w="3000"/>
            <w:shd w:fill="F8FAFC"/>
            <w:tcMar>
              <w:top w:w="40" w:type="dxa"/>
              <w:bottom w:w="40" w:type="dxa"/>
              <w:left w:w="80" w:type="dxa"/>
              <w:right w:w="80" w:type="dxa"/>
            </w:tcMar>
          </w:tcPr>
          <w:p>
            <w:pPr>
              <w:jc w:val="center"/>
            </w:pPr>
            <w:r>
              <w:rPr>
                <w:rFonts w:ascii="Times New Roman" w:hAnsi="Times New Roman"/>
                <w:sz w:val="19"/>
              </w:rPr>
              <w:t>1.2</w:t>
            </w:r>
          </w:p>
        </w:tc>
        <w:tc>
          <w:tcPr>
            <w:tcW w:type="dxa" w:w="3000"/>
            <w:shd w:fill="F8FAFC"/>
            <w:tcMar>
              <w:top w:w="40" w:type="dxa"/>
              <w:bottom w:w="40" w:type="dxa"/>
              <w:left w:w="80" w:type="dxa"/>
              <w:right w:w="80" w:type="dxa"/>
            </w:tcMar>
          </w:tcPr>
          <w:p>
            <w:pPr>
              <w:jc w:val="right"/>
            </w:pPr>
            <w:r>
              <w:rPr>
                <w:rFonts w:ascii="Times New Roman" w:hAnsi="Times New Roman"/>
                <w:sz w:val="19"/>
              </w:rPr>
              <w:t>2</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1.3 Motivation and Research Questions</w:t>
            </w:r>
          </w:p>
        </w:tc>
        <w:tc>
          <w:tcPr>
            <w:tcW w:type="dxa" w:w="3000"/>
            <w:shd w:fill="FFFFFF"/>
            <w:tcMar>
              <w:top w:w="40" w:type="dxa"/>
              <w:bottom w:w="40" w:type="dxa"/>
              <w:left w:w="80" w:type="dxa"/>
              <w:right w:w="80" w:type="dxa"/>
            </w:tcMar>
          </w:tcPr>
          <w:p>
            <w:pPr>
              <w:jc w:val="center"/>
            </w:pPr>
            <w:r>
              <w:rPr>
                <w:rFonts w:ascii="Times New Roman" w:hAnsi="Times New Roman"/>
                <w:sz w:val="19"/>
              </w:rPr>
              <w:t>1.3</w:t>
            </w:r>
          </w:p>
        </w:tc>
        <w:tc>
          <w:tcPr>
            <w:tcW w:type="dxa" w:w="3000"/>
            <w:shd w:fill="FFFFFF"/>
            <w:tcMar>
              <w:top w:w="40" w:type="dxa"/>
              <w:bottom w:w="40" w:type="dxa"/>
              <w:left w:w="80" w:type="dxa"/>
              <w:right w:w="80" w:type="dxa"/>
            </w:tcMar>
          </w:tcPr>
          <w:p>
            <w:pPr>
              <w:jc w:val="right"/>
            </w:pPr>
            <w:r>
              <w:rPr>
                <w:rFonts w:ascii="Times New Roman" w:hAnsi="Times New Roman"/>
                <w:sz w:val="19"/>
              </w:rPr>
              <w:t>3</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1.4 Overview of Proposed Solution and Key Contributions</w:t>
            </w:r>
          </w:p>
        </w:tc>
        <w:tc>
          <w:tcPr>
            <w:tcW w:type="dxa" w:w="3000"/>
            <w:shd w:fill="F8FAFC"/>
            <w:tcMar>
              <w:top w:w="40" w:type="dxa"/>
              <w:bottom w:w="40" w:type="dxa"/>
              <w:left w:w="80" w:type="dxa"/>
              <w:right w:w="80" w:type="dxa"/>
            </w:tcMar>
          </w:tcPr>
          <w:p>
            <w:pPr>
              <w:jc w:val="center"/>
            </w:pPr>
            <w:r>
              <w:rPr>
                <w:rFonts w:ascii="Times New Roman" w:hAnsi="Times New Roman"/>
                <w:sz w:val="19"/>
              </w:rPr>
              <w:t>1.4</w:t>
            </w:r>
          </w:p>
        </w:tc>
        <w:tc>
          <w:tcPr>
            <w:tcW w:type="dxa" w:w="3000"/>
            <w:shd w:fill="F8FAFC"/>
            <w:tcMar>
              <w:top w:w="40" w:type="dxa"/>
              <w:bottom w:w="40" w:type="dxa"/>
              <w:left w:w="80" w:type="dxa"/>
              <w:right w:w="80" w:type="dxa"/>
            </w:tcMar>
          </w:tcPr>
          <w:p>
            <w:pPr>
              <w:jc w:val="right"/>
            </w:pPr>
            <w:r>
              <w:rPr>
                <w:rFonts w:ascii="Times New Roman" w:hAnsi="Times New Roman"/>
                <w:sz w:val="19"/>
              </w:rPr>
              <w:t>4</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1.5 Organization of the Project Report</w:t>
            </w:r>
          </w:p>
        </w:tc>
        <w:tc>
          <w:tcPr>
            <w:tcW w:type="dxa" w:w="3000"/>
            <w:shd w:fill="FFFFFF"/>
            <w:tcMar>
              <w:top w:w="40" w:type="dxa"/>
              <w:bottom w:w="40" w:type="dxa"/>
              <w:left w:w="80" w:type="dxa"/>
              <w:right w:w="80" w:type="dxa"/>
            </w:tcMar>
          </w:tcPr>
          <w:p>
            <w:pPr>
              <w:jc w:val="center"/>
            </w:pPr>
            <w:r>
              <w:rPr>
                <w:rFonts w:ascii="Times New Roman" w:hAnsi="Times New Roman"/>
                <w:sz w:val="19"/>
              </w:rPr>
              <w:t>1.5</w:t>
            </w:r>
          </w:p>
        </w:tc>
        <w:tc>
          <w:tcPr>
            <w:tcW w:type="dxa" w:w="3000"/>
            <w:shd w:fill="FFFFFF"/>
            <w:tcMar>
              <w:top w:w="40" w:type="dxa"/>
              <w:bottom w:w="40" w:type="dxa"/>
              <w:left w:w="80" w:type="dxa"/>
              <w:right w:w="80" w:type="dxa"/>
            </w:tcMar>
          </w:tcPr>
          <w:p>
            <w:pPr>
              <w:jc w:val="right"/>
            </w:pPr>
            <w:r>
              <w:rPr>
                <w:rFonts w:ascii="Times New Roman" w:hAnsi="Times New Roman"/>
                <w:sz w:val="19"/>
              </w:rPr>
              <w:t>5</w:t>
            </w:r>
          </w:p>
        </w:tc>
      </w:tr>
      <w:tr>
        <w:tc>
          <w:tcPr>
            <w:tcW w:type="dxa" w:w="3000"/>
            <w:shd w:fill="F8FAFC"/>
            <w:tcMar>
              <w:top w:w="40" w:type="dxa"/>
              <w:bottom w:w="40" w:type="dxa"/>
              <w:left w:w="80" w:type="dxa"/>
              <w:right w:w="80" w:type="dxa"/>
            </w:tcMar>
          </w:tcPr>
          <w:p>
            <w:pPr>
              <w:spacing w:line="276" w:lineRule="auto"/>
            </w:pPr>
            <w:r>
              <w:rPr>
                <w:rFonts w:ascii="Times New Roman" w:hAnsi="Times New Roman"/>
                <w:b/>
                <w:sz w:val="19"/>
              </w:rPr>
              <w:t>CHAPTER 2: LITERATURE REVIEW</w:t>
            </w:r>
          </w:p>
        </w:tc>
        <w:tc>
          <w:tcPr>
            <w:tcW w:type="dxa" w:w="3000"/>
            <w:shd w:fill="F8FAFC"/>
            <w:tcMar>
              <w:top w:w="40" w:type="dxa"/>
              <w:bottom w:w="40" w:type="dxa"/>
              <w:left w:w="80" w:type="dxa"/>
              <w:right w:w="80" w:type="dxa"/>
            </w:tcMar>
          </w:tcPr>
          <w:p>
            <w:pPr>
              <w:jc w:val="center"/>
            </w:pPr>
            <w:r>
              <w:rPr>
                <w:rFonts w:ascii="Times New Roman" w:hAnsi="Times New Roman"/>
                <w:sz w:val="19"/>
              </w:rPr>
            </w:r>
          </w:p>
        </w:tc>
        <w:tc>
          <w:tcPr>
            <w:tcW w:type="dxa" w:w="3000"/>
            <w:shd w:fill="F8FAFC"/>
            <w:tcMar>
              <w:top w:w="40" w:type="dxa"/>
              <w:bottom w:w="40" w:type="dxa"/>
              <w:left w:w="80" w:type="dxa"/>
              <w:right w:w="80" w:type="dxa"/>
            </w:tcMar>
          </w:tcPr>
          <w:p>
            <w:pPr>
              <w:jc w:val="right"/>
            </w:pPr>
            <w:r>
              <w:rPr>
                <w:rFonts w:ascii="Times New Roman" w:hAnsi="Times New Roman"/>
                <w:b/>
                <w:sz w:val="19"/>
              </w:rPr>
              <w:t>6</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2.1 Introduction to Wearable Health Informatics</w:t>
            </w:r>
          </w:p>
        </w:tc>
        <w:tc>
          <w:tcPr>
            <w:tcW w:type="dxa" w:w="3000"/>
            <w:shd w:fill="FFFFFF"/>
            <w:tcMar>
              <w:top w:w="40" w:type="dxa"/>
              <w:bottom w:w="40" w:type="dxa"/>
              <w:left w:w="80" w:type="dxa"/>
              <w:right w:w="80" w:type="dxa"/>
            </w:tcMar>
          </w:tcPr>
          <w:p>
            <w:pPr>
              <w:jc w:val="center"/>
            </w:pPr>
            <w:r>
              <w:rPr>
                <w:rFonts w:ascii="Times New Roman" w:hAnsi="Times New Roman"/>
                <w:sz w:val="19"/>
              </w:rPr>
              <w:t>2.1</w:t>
            </w:r>
          </w:p>
        </w:tc>
        <w:tc>
          <w:tcPr>
            <w:tcW w:type="dxa" w:w="3000"/>
            <w:shd w:fill="FFFFFF"/>
            <w:tcMar>
              <w:top w:w="40" w:type="dxa"/>
              <w:bottom w:w="40" w:type="dxa"/>
              <w:left w:w="80" w:type="dxa"/>
              <w:right w:w="80" w:type="dxa"/>
            </w:tcMar>
          </w:tcPr>
          <w:p>
            <w:pPr>
              <w:jc w:val="right"/>
            </w:pPr>
            <w:r>
              <w:rPr>
                <w:rFonts w:ascii="Times New Roman" w:hAnsi="Times New Roman"/>
                <w:sz w:val="19"/>
              </w:rPr>
              <w:t>6</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2.2 Review of Existing Wearable Systems &amp; Commercial Health Platforms</w:t>
            </w:r>
          </w:p>
        </w:tc>
        <w:tc>
          <w:tcPr>
            <w:tcW w:type="dxa" w:w="3000"/>
            <w:shd w:fill="F8FAFC"/>
            <w:tcMar>
              <w:top w:w="40" w:type="dxa"/>
              <w:bottom w:w="40" w:type="dxa"/>
              <w:left w:w="80" w:type="dxa"/>
              <w:right w:w="80" w:type="dxa"/>
            </w:tcMar>
          </w:tcPr>
          <w:p>
            <w:pPr>
              <w:jc w:val="center"/>
            </w:pPr>
            <w:r>
              <w:rPr>
                <w:rFonts w:ascii="Times New Roman" w:hAnsi="Times New Roman"/>
                <w:sz w:val="19"/>
              </w:rPr>
              <w:t>2.2</w:t>
            </w:r>
          </w:p>
        </w:tc>
        <w:tc>
          <w:tcPr>
            <w:tcW w:type="dxa" w:w="3000"/>
            <w:shd w:fill="F8FAFC"/>
            <w:tcMar>
              <w:top w:w="40" w:type="dxa"/>
              <w:bottom w:w="40" w:type="dxa"/>
              <w:left w:w="80" w:type="dxa"/>
              <w:right w:w="80" w:type="dxa"/>
            </w:tcMar>
          </w:tcPr>
          <w:p>
            <w:pPr>
              <w:jc w:val="right"/>
            </w:pPr>
            <w:r>
              <w:rPr>
                <w:rFonts w:ascii="Times New Roman" w:hAnsi="Times New Roman"/>
                <w:sz w:val="19"/>
              </w:rPr>
              <w:t>7</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2.2.1 Cloud-Centric Wearables and Privacy Vulnerabilities</w:t>
            </w:r>
          </w:p>
        </w:tc>
        <w:tc>
          <w:tcPr>
            <w:tcW w:type="dxa" w:w="3000"/>
            <w:shd w:fill="FFFFFF"/>
            <w:tcMar>
              <w:top w:w="40" w:type="dxa"/>
              <w:bottom w:w="40" w:type="dxa"/>
              <w:left w:w="80" w:type="dxa"/>
              <w:right w:w="80" w:type="dxa"/>
            </w:tcMar>
          </w:tcPr>
          <w:p>
            <w:pPr>
              <w:jc w:val="center"/>
            </w:pPr>
            <w:r>
              <w:rPr>
                <w:rFonts w:ascii="Times New Roman" w:hAnsi="Times New Roman"/>
                <w:sz w:val="19"/>
              </w:rPr>
              <w:t>2.2.1</w:t>
            </w:r>
          </w:p>
        </w:tc>
        <w:tc>
          <w:tcPr>
            <w:tcW w:type="dxa" w:w="3000"/>
            <w:shd w:fill="FFFFFF"/>
            <w:tcMar>
              <w:top w:w="40" w:type="dxa"/>
              <w:bottom w:w="40" w:type="dxa"/>
              <w:left w:w="80" w:type="dxa"/>
              <w:right w:w="80" w:type="dxa"/>
            </w:tcMar>
          </w:tcPr>
          <w:p>
            <w:pPr>
              <w:jc w:val="right"/>
            </w:pPr>
            <w:r>
              <w:rPr>
                <w:rFonts w:ascii="Times New Roman" w:hAnsi="Times New Roman"/>
                <w:sz w:val="19"/>
              </w:rPr>
              <w:t>7</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2.2.2 Static Normative Health Thresholds vs. Adaptive Modeling</w:t>
            </w:r>
          </w:p>
        </w:tc>
        <w:tc>
          <w:tcPr>
            <w:tcW w:type="dxa" w:w="3000"/>
            <w:shd w:fill="F8FAFC"/>
            <w:tcMar>
              <w:top w:w="40" w:type="dxa"/>
              <w:bottom w:w="40" w:type="dxa"/>
              <w:left w:w="80" w:type="dxa"/>
              <w:right w:w="80" w:type="dxa"/>
            </w:tcMar>
          </w:tcPr>
          <w:p>
            <w:pPr>
              <w:jc w:val="center"/>
            </w:pPr>
            <w:r>
              <w:rPr>
                <w:rFonts w:ascii="Times New Roman" w:hAnsi="Times New Roman"/>
                <w:sz w:val="19"/>
              </w:rPr>
              <w:t>2.2.2</w:t>
            </w:r>
          </w:p>
        </w:tc>
        <w:tc>
          <w:tcPr>
            <w:tcW w:type="dxa" w:w="3000"/>
            <w:shd w:fill="F8FAFC"/>
            <w:tcMar>
              <w:top w:w="40" w:type="dxa"/>
              <w:bottom w:w="40" w:type="dxa"/>
              <w:left w:w="80" w:type="dxa"/>
              <w:right w:w="80" w:type="dxa"/>
            </w:tcMar>
          </w:tcPr>
          <w:p>
            <w:pPr>
              <w:jc w:val="right"/>
            </w:pPr>
            <w:r>
              <w:rPr>
                <w:rFonts w:ascii="Times New Roman" w:hAnsi="Times New Roman"/>
                <w:sz w:val="19"/>
              </w:rPr>
              <w:t>8</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2.2.3 Edge AI and TinyML in Wearable Computing</w:t>
            </w:r>
          </w:p>
        </w:tc>
        <w:tc>
          <w:tcPr>
            <w:tcW w:type="dxa" w:w="3000"/>
            <w:shd w:fill="FFFFFF"/>
            <w:tcMar>
              <w:top w:w="40" w:type="dxa"/>
              <w:bottom w:w="40" w:type="dxa"/>
              <w:left w:w="80" w:type="dxa"/>
              <w:right w:w="80" w:type="dxa"/>
            </w:tcMar>
          </w:tcPr>
          <w:p>
            <w:pPr>
              <w:jc w:val="center"/>
            </w:pPr>
            <w:r>
              <w:rPr>
                <w:rFonts w:ascii="Times New Roman" w:hAnsi="Times New Roman"/>
                <w:sz w:val="19"/>
              </w:rPr>
              <w:t>2.2.3</w:t>
            </w:r>
          </w:p>
        </w:tc>
        <w:tc>
          <w:tcPr>
            <w:tcW w:type="dxa" w:w="3000"/>
            <w:shd w:fill="FFFFFF"/>
            <w:tcMar>
              <w:top w:w="40" w:type="dxa"/>
              <w:bottom w:w="40" w:type="dxa"/>
              <w:left w:w="80" w:type="dxa"/>
              <w:right w:w="80" w:type="dxa"/>
            </w:tcMar>
          </w:tcPr>
          <w:p>
            <w:pPr>
              <w:jc w:val="right"/>
            </w:pPr>
            <w:r>
              <w:rPr>
                <w:rFonts w:ascii="Times New Roman" w:hAnsi="Times New Roman"/>
                <w:sz w:val="19"/>
              </w:rPr>
              <w:t>9</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2.3 Comparative Limitations of Existing Work</w:t>
            </w:r>
          </w:p>
        </w:tc>
        <w:tc>
          <w:tcPr>
            <w:tcW w:type="dxa" w:w="3000"/>
            <w:shd w:fill="F8FAFC"/>
            <w:tcMar>
              <w:top w:w="40" w:type="dxa"/>
              <w:bottom w:w="40" w:type="dxa"/>
              <w:left w:w="80" w:type="dxa"/>
              <w:right w:w="80" w:type="dxa"/>
            </w:tcMar>
          </w:tcPr>
          <w:p>
            <w:pPr>
              <w:jc w:val="center"/>
            </w:pPr>
            <w:r>
              <w:rPr>
                <w:rFonts w:ascii="Times New Roman" w:hAnsi="Times New Roman"/>
                <w:sz w:val="19"/>
              </w:rPr>
              <w:t>2.3</w:t>
            </w:r>
          </w:p>
        </w:tc>
        <w:tc>
          <w:tcPr>
            <w:tcW w:type="dxa" w:w="3000"/>
            <w:shd w:fill="F8FAFC"/>
            <w:tcMar>
              <w:top w:w="40" w:type="dxa"/>
              <w:bottom w:w="40" w:type="dxa"/>
              <w:left w:w="80" w:type="dxa"/>
              <w:right w:w="80" w:type="dxa"/>
            </w:tcMar>
          </w:tcPr>
          <w:p>
            <w:pPr>
              <w:jc w:val="right"/>
            </w:pPr>
            <w:r>
              <w:rPr>
                <w:rFonts w:ascii="Times New Roman" w:hAnsi="Times New Roman"/>
                <w:sz w:val="19"/>
              </w:rPr>
              <w:t>11</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2.4 Proposed System Overview and Theoretical Foundations</w:t>
            </w:r>
          </w:p>
        </w:tc>
        <w:tc>
          <w:tcPr>
            <w:tcW w:type="dxa" w:w="3000"/>
            <w:shd w:fill="FFFFFF"/>
            <w:tcMar>
              <w:top w:w="40" w:type="dxa"/>
              <w:bottom w:w="40" w:type="dxa"/>
              <w:left w:w="80" w:type="dxa"/>
              <w:right w:w="80" w:type="dxa"/>
            </w:tcMar>
          </w:tcPr>
          <w:p>
            <w:pPr>
              <w:jc w:val="center"/>
            </w:pPr>
            <w:r>
              <w:rPr>
                <w:rFonts w:ascii="Times New Roman" w:hAnsi="Times New Roman"/>
                <w:sz w:val="19"/>
              </w:rPr>
              <w:t>2.4</w:t>
            </w:r>
          </w:p>
        </w:tc>
        <w:tc>
          <w:tcPr>
            <w:tcW w:type="dxa" w:w="3000"/>
            <w:shd w:fill="FFFFFF"/>
            <w:tcMar>
              <w:top w:w="40" w:type="dxa"/>
              <w:bottom w:w="40" w:type="dxa"/>
              <w:left w:w="80" w:type="dxa"/>
              <w:right w:w="80" w:type="dxa"/>
            </w:tcMar>
          </w:tcPr>
          <w:p>
            <w:pPr>
              <w:jc w:val="right"/>
            </w:pPr>
            <w:r>
              <w:rPr>
                <w:rFonts w:ascii="Times New Roman" w:hAnsi="Times New Roman"/>
                <w:sz w:val="19"/>
              </w:rPr>
              <w:t>12</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2.4.1 Tanaka, Gulati, and Karvonen Heart Rate Reserve Formulations</w:t>
            </w:r>
          </w:p>
        </w:tc>
        <w:tc>
          <w:tcPr>
            <w:tcW w:type="dxa" w:w="3000"/>
            <w:shd w:fill="F8FAFC"/>
            <w:tcMar>
              <w:top w:w="40" w:type="dxa"/>
              <w:bottom w:w="40" w:type="dxa"/>
              <w:left w:w="80" w:type="dxa"/>
              <w:right w:w="80" w:type="dxa"/>
            </w:tcMar>
          </w:tcPr>
          <w:p>
            <w:pPr>
              <w:jc w:val="center"/>
            </w:pPr>
            <w:r>
              <w:rPr>
                <w:rFonts w:ascii="Times New Roman" w:hAnsi="Times New Roman"/>
                <w:sz w:val="19"/>
              </w:rPr>
              <w:t>2.4.1</w:t>
            </w:r>
          </w:p>
        </w:tc>
        <w:tc>
          <w:tcPr>
            <w:tcW w:type="dxa" w:w="3000"/>
            <w:shd w:fill="F8FAFC"/>
            <w:tcMar>
              <w:top w:w="40" w:type="dxa"/>
              <w:bottom w:w="40" w:type="dxa"/>
              <w:left w:w="80" w:type="dxa"/>
              <w:right w:w="80" w:type="dxa"/>
            </w:tcMar>
          </w:tcPr>
          <w:p>
            <w:pPr>
              <w:jc w:val="right"/>
            </w:pPr>
            <w:r>
              <w:rPr>
                <w:rFonts w:ascii="Times New Roman" w:hAnsi="Times New Roman"/>
                <w:sz w:val="19"/>
              </w:rPr>
              <w:t>12</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2.4.2 Belenky Sleep Debt Accumulation and Homeostatic Recovery</w:t>
            </w:r>
          </w:p>
        </w:tc>
        <w:tc>
          <w:tcPr>
            <w:tcW w:type="dxa" w:w="3000"/>
            <w:shd w:fill="FFFFFF"/>
            <w:tcMar>
              <w:top w:w="40" w:type="dxa"/>
              <w:bottom w:w="40" w:type="dxa"/>
              <w:left w:w="80" w:type="dxa"/>
              <w:right w:w="80" w:type="dxa"/>
            </w:tcMar>
          </w:tcPr>
          <w:p>
            <w:pPr>
              <w:jc w:val="center"/>
            </w:pPr>
            <w:r>
              <w:rPr>
                <w:rFonts w:ascii="Times New Roman" w:hAnsi="Times New Roman"/>
                <w:sz w:val="19"/>
              </w:rPr>
              <w:t>2.4.2</w:t>
            </w:r>
          </w:p>
        </w:tc>
        <w:tc>
          <w:tcPr>
            <w:tcW w:type="dxa" w:w="3000"/>
            <w:shd w:fill="FFFFFF"/>
            <w:tcMar>
              <w:top w:w="40" w:type="dxa"/>
              <w:bottom w:w="40" w:type="dxa"/>
              <w:left w:w="80" w:type="dxa"/>
              <w:right w:w="80" w:type="dxa"/>
            </w:tcMar>
          </w:tcPr>
          <w:p>
            <w:pPr>
              <w:jc w:val="right"/>
            </w:pPr>
            <w:r>
              <w:rPr>
                <w:rFonts w:ascii="Times New Roman" w:hAnsi="Times New Roman"/>
                <w:sz w:val="19"/>
              </w:rPr>
              <w:t>13</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2.4.3 On-Device Edge Learning via Micro-SGD</w:t>
            </w:r>
          </w:p>
        </w:tc>
        <w:tc>
          <w:tcPr>
            <w:tcW w:type="dxa" w:w="3000"/>
            <w:shd w:fill="F8FAFC"/>
            <w:tcMar>
              <w:top w:w="40" w:type="dxa"/>
              <w:bottom w:w="40" w:type="dxa"/>
              <w:left w:w="80" w:type="dxa"/>
              <w:right w:w="80" w:type="dxa"/>
            </w:tcMar>
          </w:tcPr>
          <w:p>
            <w:pPr>
              <w:jc w:val="center"/>
            </w:pPr>
            <w:r>
              <w:rPr>
                <w:rFonts w:ascii="Times New Roman" w:hAnsi="Times New Roman"/>
                <w:sz w:val="19"/>
              </w:rPr>
              <w:t>2.4.3</w:t>
            </w:r>
          </w:p>
        </w:tc>
        <w:tc>
          <w:tcPr>
            <w:tcW w:type="dxa" w:w="3000"/>
            <w:shd w:fill="F8FAFC"/>
            <w:tcMar>
              <w:top w:w="40" w:type="dxa"/>
              <w:bottom w:w="40" w:type="dxa"/>
              <w:left w:w="80" w:type="dxa"/>
              <w:right w:w="80" w:type="dxa"/>
            </w:tcMar>
          </w:tcPr>
          <w:p>
            <w:pPr>
              <w:jc w:val="right"/>
            </w:pPr>
            <w:r>
              <w:rPr>
                <w:rFonts w:ascii="Times New Roman" w:hAnsi="Times New Roman"/>
                <w:sz w:val="19"/>
              </w:rPr>
              <w:t>13</w:t>
            </w:r>
          </w:p>
        </w:tc>
      </w:tr>
      <w:tr>
        <w:tc>
          <w:tcPr>
            <w:tcW w:type="dxa" w:w="3000"/>
            <w:shd w:fill="FFFFFF"/>
            <w:tcMar>
              <w:top w:w="40" w:type="dxa"/>
              <w:bottom w:w="40" w:type="dxa"/>
              <w:left w:w="80" w:type="dxa"/>
              <w:right w:w="80" w:type="dxa"/>
            </w:tcMar>
          </w:tcPr>
          <w:p>
            <w:pPr>
              <w:spacing w:line="276" w:lineRule="auto"/>
            </w:pPr>
            <w:r>
              <w:rPr>
                <w:rFonts w:ascii="Times New Roman" w:hAnsi="Times New Roman"/>
                <w:b/>
                <w:sz w:val="19"/>
              </w:rPr>
              <w:t>CHAPTER 3: OBJECTIVES AND SCOPE OF WORK</w:t>
            </w:r>
          </w:p>
        </w:tc>
        <w:tc>
          <w:tcPr>
            <w:tcW w:type="dxa" w:w="3000"/>
            <w:shd w:fill="FFFFFF"/>
            <w:tcMar>
              <w:top w:w="40" w:type="dxa"/>
              <w:bottom w:w="40" w:type="dxa"/>
              <w:left w:w="80" w:type="dxa"/>
              <w:right w:w="80" w:type="dxa"/>
            </w:tcMar>
          </w:tcPr>
          <w:p>
            <w:pPr>
              <w:jc w:val="center"/>
            </w:pPr>
            <w:r>
              <w:rPr>
                <w:rFonts w:ascii="Times New Roman" w:hAnsi="Times New Roman"/>
                <w:sz w:val="19"/>
              </w:rPr>
            </w:r>
          </w:p>
        </w:tc>
        <w:tc>
          <w:tcPr>
            <w:tcW w:type="dxa" w:w="3000"/>
            <w:shd w:fill="FFFFFF"/>
            <w:tcMar>
              <w:top w:w="40" w:type="dxa"/>
              <w:bottom w:w="40" w:type="dxa"/>
              <w:left w:w="80" w:type="dxa"/>
              <w:right w:w="80" w:type="dxa"/>
            </w:tcMar>
          </w:tcPr>
          <w:p>
            <w:pPr>
              <w:jc w:val="right"/>
            </w:pPr>
            <w:r>
              <w:rPr>
                <w:rFonts w:ascii="Times New Roman" w:hAnsi="Times New Roman"/>
                <w:b/>
                <w:sz w:val="19"/>
              </w:rPr>
              <w:t>14</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3.1 Project Objectives</w:t>
            </w:r>
          </w:p>
        </w:tc>
        <w:tc>
          <w:tcPr>
            <w:tcW w:type="dxa" w:w="3000"/>
            <w:shd w:fill="F8FAFC"/>
            <w:tcMar>
              <w:top w:w="40" w:type="dxa"/>
              <w:bottom w:w="40" w:type="dxa"/>
              <w:left w:w="80" w:type="dxa"/>
              <w:right w:w="80" w:type="dxa"/>
            </w:tcMar>
          </w:tcPr>
          <w:p>
            <w:pPr>
              <w:jc w:val="center"/>
            </w:pPr>
            <w:r>
              <w:rPr>
                <w:rFonts w:ascii="Times New Roman" w:hAnsi="Times New Roman"/>
                <w:sz w:val="19"/>
              </w:rPr>
              <w:t>3.1</w:t>
            </w:r>
          </w:p>
        </w:tc>
        <w:tc>
          <w:tcPr>
            <w:tcW w:type="dxa" w:w="3000"/>
            <w:shd w:fill="F8FAFC"/>
            <w:tcMar>
              <w:top w:w="40" w:type="dxa"/>
              <w:bottom w:w="40" w:type="dxa"/>
              <w:left w:w="80" w:type="dxa"/>
              <w:right w:w="80" w:type="dxa"/>
            </w:tcMar>
          </w:tcPr>
          <w:p>
            <w:pPr>
              <w:jc w:val="right"/>
            </w:pPr>
            <w:r>
              <w:rPr>
                <w:rFonts w:ascii="Times New Roman" w:hAnsi="Times New Roman"/>
                <w:sz w:val="19"/>
              </w:rPr>
              <w:t>14</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3.1.1 Primary Research Objectives</w:t>
            </w:r>
          </w:p>
        </w:tc>
        <w:tc>
          <w:tcPr>
            <w:tcW w:type="dxa" w:w="3000"/>
            <w:shd w:fill="FFFFFF"/>
            <w:tcMar>
              <w:top w:w="40" w:type="dxa"/>
              <w:bottom w:w="40" w:type="dxa"/>
              <w:left w:w="80" w:type="dxa"/>
              <w:right w:w="80" w:type="dxa"/>
            </w:tcMar>
          </w:tcPr>
          <w:p>
            <w:pPr>
              <w:jc w:val="center"/>
            </w:pPr>
            <w:r>
              <w:rPr>
                <w:rFonts w:ascii="Times New Roman" w:hAnsi="Times New Roman"/>
                <w:sz w:val="19"/>
              </w:rPr>
              <w:t>3.1.1</w:t>
            </w:r>
          </w:p>
        </w:tc>
        <w:tc>
          <w:tcPr>
            <w:tcW w:type="dxa" w:w="3000"/>
            <w:shd w:fill="FFFFFF"/>
            <w:tcMar>
              <w:top w:w="40" w:type="dxa"/>
              <w:bottom w:w="40" w:type="dxa"/>
              <w:left w:w="80" w:type="dxa"/>
              <w:right w:w="80" w:type="dxa"/>
            </w:tcMar>
          </w:tcPr>
          <w:p>
            <w:pPr>
              <w:jc w:val="right"/>
            </w:pPr>
            <w:r>
              <w:rPr>
                <w:rFonts w:ascii="Times New Roman" w:hAnsi="Times New Roman"/>
                <w:sz w:val="19"/>
              </w:rPr>
              <w:t>14</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3.1.2 Specific Functional and Engineering Objectives</w:t>
            </w:r>
          </w:p>
        </w:tc>
        <w:tc>
          <w:tcPr>
            <w:tcW w:type="dxa" w:w="3000"/>
            <w:shd w:fill="F8FAFC"/>
            <w:tcMar>
              <w:top w:w="40" w:type="dxa"/>
              <w:bottom w:w="40" w:type="dxa"/>
              <w:left w:w="80" w:type="dxa"/>
              <w:right w:w="80" w:type="dxa"/>
            </w:tcMar>
          </w:tcPr>
          <w:p>
            <w:pPr>
              <w:jc w:val="center"/>
            </w:pPr>
            <w:r>
              <w:rPr>
                <w:rFonts w:ascii="Times New Roman" w:hAnsi="Times New Roman"/>
                <w:sz w:val="19"/>
              </w:rPr>
              <w:t>3.1.2</w:t>
            </w:r>
          </w:p>
        </w:tc>
        <w:tc>
          <w:tcPr>
            <w:tcW w:type="dxa" w:w="3000"/>
            <w:shd w:fill="F8FAFC"/>
            <w:tcMar>
              <w:top w:w="40" w:type="dxa"/>
              <w:bottom w:w="40" w:type="dxa"/>
              <w:left w:w="80" w:type="dxa"/>
              <w:right w:w="80" w:type="dxa"/>
            </w:tcMar>
          </w:tcPr>
          <w:p>
            <w:pPr>
              <w:jc w:val="right"/>
            </w:pPr>
            <w:r>
              <w:rPr>
                <w:rFonts w:ascii="Times New Roman" w:hAnsi="Times New Roman"/>
                <w:sz w:val="19"/>
              </w:rPr>
              <w:t>15</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3.2 Scope of the Project</w:t>
            </w:r>
          </w:p>
        </w:tc>
        <w:tc>
          <w:tcPr>
            <w:tcW w:type="dxa" w:w="3000"/>
            <w:shd w:fill="FFFFFF"/>
            <w:tcMar>
              <w:top w:w="40" w:type="dxa"/>
              <w:bottom w:w="40" w:type="dxa"/>
              <w:left w:w="80" w:type="dxa"/>
              <w:right w:w="80" w:type="dxa"/>
            </w:tcMar>
          </w:tcPr>
          <w:p>
            <w:pPr>
              <w:jc w:val="center"/>
            </w:pPr>
            <w:r>
              <w:rPr>
                <w:rFonts w:ascii="Times New Roman" w:hAnsi="Times New Roman"/>
                <w:sz w:val="19"/>
              </w:rPr>
              <w:t>3.2</w:t>
            </w:r>
          </w:p>
        </w:tc>
        <w:tc>
          <w:tcPr>
            <w:tcW w:type="dxa" w:w="3000"/>
            <w:shd w:fill="FFFFFF"/>
            <w:tcMar>
              <w:top w:w="40" w:type="dxa"/>
              <w:bottom w:w="40" w:type="dxa"/>
              <w:left w:w="80" w:type="dxa"/>
              <w:right w:w="80" w:type="dxa"/>
            </w:tcMar>
          </w:tcPr>
          <w:p>
            <w:pPr>
              <w:jc w:val="right"/>
            </w:pPr>
            <w:r>
              <w:rPr>
                <w:rFonts w:ascii="Times New Roman" w:hAnsi="Times New Roman"/>
                <w:sz w:val="19"/>
              </w:rPr>
              <w:t>16</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3.2.1 In-Scope Capabilities and Features</w:t>
            </w:r>
          </w:p>
        </w:tc>
        <w:tc>
          <w:tcPr>
            <w:tcW w:type="dxa" w:w="3000"/>
            <w:shd w:fill="F8FAFC"/>
            <w:tcMar>
              <w:top w:w="40" w:type="dxa"/>
              <w:bottom w:w="40" w:type="dxa"/>
              <w:left w:w="80" w:type="dxa"/>
              <w:right w:w="80" w:type="dxa"/>
            </w:tcMar>
          </w:tcPr>
          <w:p>
            <w:pPr>
              <w:jc w:val="center"/>
            </w:pPr>
            <w:r>
              <w:rPr>
                <w:rFonts w:ascii="Times New Roman" w:hAnsi="Times New Roman"/>
                <w:sz w:val="19"/>
              </w:rPr>
              <w:t>3.2.1</w:t>
            </w:r>
          </w:p>
        </w:tc>
        <w:tc>
          <w:tcPr>
            <w:tcW w:type="dxa" w:w="3000"/>
            <w:shd w:fill="F8FAFC"/>
            <w:tcMar>
              <w:top w:w="40" w:type="dxa"/>
              <w:bottom w:w="40" w:type="dxa"/>
              <w:left w:w="80" w:type="dxa"/>
              <w:right w:w="80" w:type="dxa"/>
            </w:tcMar>
          </w:tcPr>
          <w:p>
            <w:pPr>
              <w:jc w:val="right"/>
            </w:pPr>
            <w:r>
              <w:rPr>
                <w:rFonts w:ascii="Times New Roman" w:hAnsi="Times New Roman"/>
                <w:sz w:val="19"/>
              </w:rPr>
              <w:t>16</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3.2.2 Out-of-Scope Constraints and Delimitations</w:t>
            </w:r>
          </w:p>
        </w:tc>
        <w:tc>
          <w:tcPr>
            <w:tcW w:type="dxa" w:w="3000"/>
            <w:shd w:fill="FFFFFF"/>
            <w:tcMar>
              <w:top w:w="40" w:type="dxa"/>
              <w:bottom w:w="40" w:type="dxa"/>
              <w:left w:w="80" w:type="dxa"/>
              <w:right w:w="80" w:type="dxa"/>
            </w:tcMar>
          </w:tcPr>
          <w:p>
            <w:pPr>
              <w:jc w:val="center"/>
            </w:pPr>
            <w:r>
              <w:rPr>
                <w:rFonts w:ascii="Times New Roman" w:hAnsi="Times New Roman"/>
                <w:sz w:val="19"/>
              </w:rPr>
              <w:t>3.2.2</w:t>
            </w:r>
          </w:p>
        </w:tc>
        <w:tc>
          <w:tcPr>
            <w:tcW w:type="dxa" w:w="3000"/>
            <w:shd w:fill="FFFFFF"/>
            <w:tcMar>
              <w:top w:w="40" w:type="dxa"/>
              <w:bottom w:w="40" w:type="dxa"/>
              <w:left w:w="80" w:type="dxa"/>
              <w:right w:w="80" w:type="dxa"/>
            </w:tcMar>
          </w:tcPr>
          <w:p>
            <w:pPr>
              <w:jc w:val="right"/>
            </w:pPr>
            <w:r>
              <w:rPr>
                <w:rFonts w:ascii="Times New Roman" w:hAnsi="Times New Roman"/>
                <w:sz w:val="19"/>
              </w:rPr>
              <w:t>17</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3.3 Schedule of Work and Project Planning</w:t>
            </w:r>
          </w:p>
        </w:tc>
        <w:tc>
          <w:tcPr>
            <w:tcW w:type="dxa" w:w="3000"/>
            <w:shd w:fill="F8FAFC"/>
            <w:tcMar>
              <w:top w:w="40" w:type="dxa"/>
              <w:bottom w:w="40" w:type="dxa"/>
              <w:left w:w="80" w:type="dxa"/>
              <w:right w:w="80" w:type="dxa"/>
            </w:tcMar>
          </w:tcPr>
          <w:p>
            <w:pPr>
              <w:jc w:val="center"/>
            </w:pPr>
            <w:r>
              <w:rPr>
                <w:rFonts w:ascii="Times New Roman" w:hAnsi="Times New Roman"/>
                <w:sz w:val="19"/>
              </w:rPr>
              <w:t>3.3</w:t>
            </w:r>
          </w:p>
        </w:tc>
        <w:tc>
          <w:tcPr>
            <w:tcW w:type="dxa" w:w="3000"/>
            <w:shd w:fill="F8FAFC"/>
            <w:tcMar>
              <w:top w:w="40" w:type="dxa"/>
              <w:bottom w:w="40" w:type="dxa"/>
              <w:left w:w="80" w:type="dxa"/>
              <w:right w:w="80" w:type="dxa"/>
            </w:tcMar>
          </w:tcPr>
          <w:p>
            <w:pPr>
              <w:jc w:val="right"/>
            </w:pPr>
            <w:r>
              <w:rPr>
                <w:rFonts w:ascii="Times New Roman" w:hAnsi="Times New Roman"/>
                <w:sz w:val="19"/>
              </w:rPr>
              <w:t>17</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3.3.1 Detailed 12-Week Milestone Breakdown</w:t>
            </w:r>
          </w:p>
        </w:tc>
        <w:tc>
          <w:tcPr>
            <w:tcW w:type="dxa" w:w="3000"/>
            <w:shd w:fill="FFFFFF"/>
            <w:tcMar>
              <w:top w:w="40" w:type="dxa"/>
              <w:bottom w:w="40" w:type="dxa"/>
              <w:left w:w="80" w:type="dxa"/>
              <w:right w:w="80" w:type="dxa"/>
            </w:tcMar>
          </w:tcPr>
          <w:p>
            <w:pPr>
              <w:jc w:val="center"/>
            </w:pPr>
            <w:r>
              <w:rPr>
                <w:rFonts w:ascii="Times New Roman" w:hAnsi="Times New Roman"/>
                <w:sz w:val="19"/>
              </w:rPr>
              <w:t>3.3.1</w:t>
            </w:r>
          </w:p>
        </w:tc>
        <w:tc>
          <w:tcPr>
            <w:tcW w:type="dxa" w:w="3000"/>
            <w:shd w:fill="FFFFFF"/>
            <w:tcMar>
              <w:top w:w="40" w:type="dxa"/>
              <w:bottom w:w="40" w:type="dxa"/>
              <w:left w:w="80" w:type="dxa"/>
              <w:right w:w="80" w:type="dxa"/>
            </w:tcMar>
          </w:tcPr>
          <w:p>
            <w:pPr>
              <w:jc w:val="right"/>
            </w:pPr>
            <w:r>
              <w:rPr>
                <w:rFonts w:ascii="Times New Roman" w:hAnsi="Times New Roman"/>
                <w:sz w:val="19"/>
              </w:rPr>
              <w:t>17</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3.3.2 Gantt Schedule Diagram</w:t>
            </w:r>
          </w:p>
        </w:tc>
        <w:tc>
          <w:tcPr>
            <w:tcW w:type="dxa" w:w="3000"/>
            <w:shd w:fill="F8FAFC"/>
            <w:tcMar>
              <w:top w:w="40" w:type="dxa"/>
              <w:bottom w:w="40" w:type="dxa"/>
              <w:left w:w="80" w:type="dxa"/>
              <w:right w:w="80" w:type="dxa"/>
            </w:tcMar>
          </w:tcPr>
          <w:p>
            <w:pPr>
              <w:jc w:val="center"/>
            </w:pPr>
            <w:r>
              <w:rPr>
                <w:rFonts w:ascii="Times New Roman" w:hAnsi="Times New Roman"/>
                <w:sz w:val="19"/>
              </w:rPr>
              <w:t>3.3.2</w:t>
            </w:r>
          </w:p>
        </w:tc>
        <w:tc>
          <w:tcPr>
            <w:tcW w:type="dxa" w:w="3000"/>
            <w:shd w:fill="F8FAFC"/>
            <w:tcMar>
              <w:top w:w="40" w:type="dxa"/>
              <w:bottom w:w="40" w:type="dxa"/>
              <w:left w:w="80" w:type="dxa"/>
              <w:right w:w="80" w:type="dxa"/>
            </w:tcMar>
          </w:tcPr>
          <w:p>
            <w:pPr>
              <w:jc w:val="right"/>
            </w:pPr>
            <w:r>
              <w:rPr>
                <w:rFonts w:ascii="Times New Roman" w:hAnsi="Times New Roman"/>
                <w:sz w:val="19"/>
              </w:rPr>
              <w:t>18</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3.3.3 Risk Assessment and Mitigation Matrix</w:t>
            </w:r>
          </w:p>
        </w:tc>
        <w:tc>
          <w:tcPr>
            <w:tcW w:type="dxa" w:w="3000"/>
            <w:shd w:fill="FFFFFF"/>
            <w:tcMar>
              <w:top w:w="40" w:type="dxa"/>
              <w:bottom w:w="40" w:type="dxa"/>
              <w:left w:w="80" w:type="dxa"/>
              <w:right w:w="80" w:type="dxa"/>
            </w:tcMar>
          </w:tcPr>
          <w:p>
            <w:pPr>
              <w:jc w:val="center"/>
            </w:pPr>
            <w:r>
              <w:rPr>
                <w:rFonts w:ascii="Times New Roman" w:hAnsi="Times New Roman"/>
                <w:sz w:val="19"/>
              </w:rPr>
              <w:t>3.3.3</w:t>
            </w:r>
          </w:p>
        </w:tc>
        <w:tc>
          <w:tcPr>
            <w:tcW w:type="dxa" w:w="3000"/>
            <w:shd w:fill="FFFFFF"/>
            <w:tcMar>
              <w:top w:w="40" w:type="dxa"/>
              <w:bottom w:w="40" w:type="dxa"/>
              <w:left w:w="80" w:type="dxa"/>
              <w:right w:w="80" w:type="dxa"/>
            </w:tcMar>
          </w:tcPr>
          <w:p>
            <w:pPr>
              <w:jc w:val="right"/>
            </w:pPr>
            <w:r>
              <w:rPr>
                <w:rFonts w:ascii="Times New Roman" w:hAnsi="Times New Roman"/>
                <w:sz w:val="19"/>
              </w:rPr>
              <w:t>19</w:t>
            </w:r>
          </w:p>
        </w:tc>
      </w:tr>
      <w:tr>
        <w:tc>
          <w:tcPr>
            <w:tcW w:type="dxa" w:w="3000"/>
            <w:shd w:fill="F8FAFC"/>
            <w:tcMar>
              <w:top w:w="40" w:type="dxa"/>
              <w:bottom w:w="40" w:type="dxa"/>
              <w:left w:w="80" w:type="dxa"/>
              <w:right w:w="80" w:type="dxa"/>
            </w:tcMar>
          </w:tcPr>
          <w:p>
            <w:pPr>
              <w:spacing w:line="276" w:lineRule="auto"/>
            </w:pPr>
            <w:r>
              <w:rPr>
                <w:rFonts w:ascii="Times New Roman" w:hAnsi="Times New Roman"/>
                <w:b/>
                <w:sz w:val="19"/>
              </w:rPr>
              <w:t>CHAPTER 4: SYSTEM ANALYSIS &amp; DESIGN</w:t>
            </w:r>
          </w:p>
        </w:tc>
        <w:tc>
          <w:tcPr>
            <w:tcW w:type="dxa" w:w="3000"/>
            <w:shd w:fill="F8FAFC"/>
            <w:tcMar>
              <w:top w:w="40" w:type="dxa"/>
              <w:bottom w:w="40" w:type="dxa"/>
              <w:left w:w="80" w:type="dxa"/>
              <w:right w:w="80" w:type="dxa"/>
            </w:tcMar>
          </w:tcPr>
          <w:p>
            <w:pPr>
              <w:jc w:val="center"/>
            </w:pPr>
            <w:r>
              <w:rPr>
                <w:rFonts w:ascii="Times New Roman" w:hAnsi="Times New Roman"/>
                <w:sz w:val="19"/>
              </w:rPr>
            </w:r>
          </w:p>
        </w:tc>
        <w:tc>
          <w:tcPr>
            <w:tcW w:type="dxa" w:w="3000"/>
            <w:shd w:fill="F8FAFC"/>
            <w:tcMar>
              <w:top w:w="40" w:type="dxa"/>
              <w:bottom w:w="40" w:type="dxa"/>
              <w:left w:w="80" w:type="dxa"/>
              <w:right w:w="80" w:type="dxa"/>
            </w:tcMar>
          </w:tcPr>
          <w:p>
            <w:pPr>
              <w:jc w:val="right"/>
            </w:pPr>
            <w:r>
              <w:rPr>
                <w:rFonts w:ascii="Times New Roman" w:hAnsi="Times New Roman"/>
                <w:b/>
                <w:sz w:val="19"/>
              </w:rPr>
              <w:t>20</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4.1 Requirements Analysis</w:t>
            </w:r>
          </w:p>
        </w:tc>
        <w:tc>
          <w:tcPr>
            <w:tcW w:type="dxa" w:w="3000"/>
            <w:shd w:fill="FFFFFF"/>
            <w:tcMar>
              <w:top w:w="40" w:type="dxa"/>
              <w:bottom w:w="40" w:type="dxa"/>
              <w:left w:w="80" w:type="dxa"/>
              <w:right w:w="80" w:type="dxa"/>
            </w:tcMar>
          </w:tcPr>
          <w:p>
            <w:pPr>
              <w:jc w:val="center"/>
            </w:pPr>
            <w:r>
              <w:rPr>
                <w:rFonts w:ascii="Times New Roman" w:hAnsi="Times New Roman"/>
                <w:sz w:val="19"/>
              </w:rPr>
              <w:t>4.1</w:t>
            </w:r>
          </w:p>
        </w:tc>
        <w:tc>
          <w:tcPr>
            <w:tcW w:type="dxa" w:w="3000"/>
            <w:shd w:fill="FFFFFF"/>
            <w:tcMar>
              <w:top w:w="40" w:type="dxa"/>
              <w:bottom w:w="40" w:type="dxa"/>
              <w:left w:w="80" w:type="dxa"/>
              <w:right w:w="80" w:type="dxa"/>
            </w:tcMar>
          </w:tcPr>
          <w:p>
            <w:pPr>
              <w:jc w:val="right"/>
            </w:pPr>
            <w:r>
              <w:rPr>
                <w:rFonts w:ascii="Times New Roman" w:hAnsi="Times New Roman"/>
                <w:sz w:val="19"/>
              </w:rPr>
              <w:t>20</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4.1.1 Functional Requirements</w:t>
            </w:r>
          </w:p>
        </w:tc>
        <w:tc>
          <w:tcPr>
            <w:tcW w:type="dxa" w:w="3000"/>
            <w:shd w:fill="F8FAFC"/>
            <w:tcMar>
              <w:top w:w="40" w:type="dxa"/>
              <w:bottom w:w="40" w:type="dxa"/>
              <w:left w:w="80" w:type="dxa"/>
              <w:right w:w="80" w:type="dxa"/>
            </w:tcMar>
          </w:tcPr>
          <w:p>
            <w:pPr>
              <w:jc w:val="center"/>
            </w:pPr>
            <w:r>
              <w:rPr>
                <w:rFonts w:ascii="Times New Roman" w:hAnsi="Times New Roman"/>
                <w:sz w:val="19"/>
              </w:rPr>
              <w:t>4.1.1</w:t>
            </w:r>
          </w:p>
        </w:tc>
        <w:tc>
          <w:tcPr>
            <w:tcW w:type="dxa" w:w="3000"/>
            <w:shd w:fill="F8FAFC"/>
            <w:tcMar>
              <w:top w:w="40" w:type="dxa"/>
              <w:bottom w:w="40" w:type="dxa"/>
              <w:left w:w="80" w:type="dxa"/>
              <w:right w:w="80" w:type="dxa"/>
            </w:tcMar>
          </w:tcPr>
          <w:p>
            <w:pPr>
              <w:jc w:val="right"/>
            </w:pPr>
            <w:r>
              <w:rPr>
                <w:rFonts w:ascii="Times New Roman" w:hAnsi="Times New Roman"/>
                <w:sz w:val="19"/>
              </w:rPr>
              <w:t>20</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4.1.2 Non-Functional Requirements</w:t>
            </w:r>
          </w:p>
        </w:tc>
        <w:tc>
          <w:tcPr>
            <w:tcW w:type="dxa" w:w="3000"/>
            <w:shd w:fill="FFFFFF"/>
            <w:tcMar>
              <w:top w:w="40" w:type="dxa"/>
              <w:bottom w:w="40" w:type="dxa"/>
              <w:left w:w="80" w:type="dxa"/>
              <w:right w:w="80" w:type="dxa"/>
            </w:tcMar>
          </w:tcPr>
          <w:p>
            <w:pPr>
              <w:jc w:val="center"/>
            </w:pPr>
            <w:r>
              <w:rPr>
                <w:rFonts w:ascii="Times New Roman" w:hAnsi="Times New Roman"/>
                <w:sz w:val="19"/>
              </w:rPr>
              <w:t>4.1.2</w:t>
            </w:r>
          </w:p>
        </w:tc>
        <w:tc>
          <w:tcPr>
            <w:tcW w:type="dxa" w:w="3000"/>
            <w:shd w:fill="FFFFFF"/>
            <w:tcMar>
              <w:top w:w="40" w:type="dxa"/>
              <w:bottom w:w="40" w:type="dxa"/>
              <w:left w:w="80" w:type="dxa"/>
              <w:right w:w="80" w:type="dxa"/>
            </w:tcMar>
          </w:tcPr>
          <w:p>
            <w:pPr>
              <w:jc w:val="right"/>
            </w:pPr>
            <w:r>
              <w:rPr>
                <w:rFonts w:ascii="Times New Roman" w:hAnsi="Times New Roman"/>
                <w:sz w:val="19"/>
              </w:rPr>
              <w:t>21</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4.1.3 Hardware and Embedded Sensor Specifications</w:t>
            </w:r>
          </w:p>
        </w:tc>
        <w:tc>
          <w:tcPr>
            <w:tcW w:type="dxa" w:w="3000"/>
            <w:shd w:fill="F8FAFC"/>
            <w:tcMar>
              <w:top w:w="40" w:type="dxa"/>
              <w:bottom w:w="40" w:type="dxa"/>
              <w:left w:w="80" w:type="dxa"/>
              <w:right w:w="80" w:type="dxa"/>
            </w:tcMar>
          </w:tcPr>
          <w:p>
            <w:pPr>
              <w:jc w:val="center"/>
            </w:pPr>
            <w:r>
              <w:rPr>
                <w:rFonts w:ascii="Times New Roman" w:hAnsi="Times New Roman"/>
                <w:sz w:val="19"/>
              </w:rPr>
              <w:t>4.1.3</w:t>
            </w:r>
          </w:p>
        </w:tc>
        <w:tc>
          <w:tcPr>
            <w:tcW w:type="dxa" w:w="3000"/>
            <w:shd w:fill="F8FAFC"/>
            <w:tcMar>
              <w:top w:w="40" w:type="dxa"/>
              <w:bottom w:w="40" w:type="dxa"/>
              <w:left w:w="80" w:type="dxa"/>
              <w:right w:w="80" w:type="dxa"/>
            </w:tcMar>
          </w:tcPr>
          <w:p>
            <w:pPr>
              <w:jc w:val="right"/>
            </w:pPr>
            <w:r>
              <w:rPr>
                <w:rFonts w:ascii="Times New Roman" w:hAnsi="Times New Roman"/>
                <w:sz w:val="19"/>
              </w:rPr>
              <w:t>22</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4.2 System Architecture Design</w:t>
            </w:r>
          </w:p>
        </w:tc>
        <w:tc>
          <w:tcPr>
            <w:tcW w:type="dxa" w:w="3000"/>
            <w:shd w:fill="FFFFFF"/>
            <w:tcMar>
              <w:top w:w="40" w:type="dxa"/>
              <w:bottom w:w="40" w:type="dxa"/>
              <w:left w:w="80" w:type="dxa"/>
              <w:right w:w="80" w:type="dxa"/>
            </w:tcMar>
          </w:tcPr>
          <w:p>
            <w:pPr>
              <w:jc w:val="center"/>
            </w:pPr>
            <w:r>
              <w:rPr>
                <w:rFonts w:ascii="Times New Roman" w:hAnsi="Times New Roman"/>
                <w:sz w:val="19"/>
              </w:rPr>
              <w:t>4.2</w:t>
            </w:r>
          </w:p>
        </w:tc>
        <w:tc>
          <w:tcPr>
            <w:tcW w:type="dxa" w:w="3000"/>
            <w:shd w:fill="FFFFFF"/>
            <w:tcMar>
              <w:top w:w="40" w:type="dxa"/>
              <w:bottom w:w="40" w:type="dxa"/>
              <w:left w:w="80" w:type="dxa"/>
              <w:right w:w="80" w:type="dxa"/>
            </w:tcMar>
          </w:tcPr>
          <w:p>
            <w:pPr>
              <w:jc w:val="right"/>
            </w:pPr>
            <w:r>
              <w:rPr>
                <w:rFonts w:ascii="Times New Roman" w:hAnsi="Times New Roman"/>
                <w:sz w:val="19"/>
              </w:rPr>
              <w:t>23</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4.2.1 Multi-Layered On-Device Architecture Overview</w:t>
            </w:r>
          </w:p>
        </w:tc>
        <w:tc>
          <w:tcPr>
            <w:tcW w:type="dxa" w:w="3000"/>
            <w:shd w:fill="F8FAFC"/>
            <w:tcMar>
              <w:top w:w="40" w:type="dxa"/>
              <w:bottom w:w="40" w:type="dxa"/>
              <w:left w:w="80" w:type="dxa"/>
              <w:right w:w="80" w:type="dxa"/>
            </w:tcMar>
          </w:tcPr>
          <w:p>
            <w:pPr>
              <w:jc w:val="center"/>
            </w:pPr>
            <w:r>
              <w:rPr>
                <w:rFonts w:ascii="Times New Roman" w:hAnsi="Times New Roman"/>
                <w:sz w:val="19"/>
              </w:rPr>
              <w:t>4.2.1</w:t>
            </w:r>
          </w:p>
        </w:tc>
        <w:tc>
          <w:tcPr>
            <w:tcW w:type="dxa" w:w="3000"/>
            <w:shd w:fill="F8FAFC"/>
            <w:tcMar>
              <w:top w:w="40" w:type="dxa"/>
              <w:bottom w:w="40" w:type="dxa"/>
              <w:left w:w="80" w:type="dxa"/>
              <w:right w:w="80" w:type="dxa"/>
            </w:tcMar>
          </w:tcPr>
          <w:p>
            <w:pPr>
              <w:jc w:val="right"/>
            </w:pPr>
            <w:r>
              <w:rPr>
                <w:rFonts w:ascii="Times New Roman" w:hAnsi="Times New Roman"/>
                <w:sz w:val="19"/>
              </w:rPr>
              <w:t>23</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4.2.2 Hardware Sensor &amp; Ingestion Subsystem</w:t>
            </w:r>
          </w:p>
        </w:tc>
        <w:tc>
          <w:tcPr>
            <w:tcW w:type="dxa" w:w="3000"/>
            <w:shd w:fill="FFFFFF"/>
            <w:tcMar>
              <w:top w:w="40" w:type="dxa"/>
              <w:bottom w:w="40" w:type="dxa"/>
              <w:left w:w="80" w:type="dxa"/>
              <w:right w:w="80" w:type="dxa"/>
            </w:tcMar>
          </w:tcPr>
          <w:p>
            <w:pPr>
              <w:jc w:val="center"/>
            </w:pPr>
            <w:r>
              <w:rPr>
                <w:rFonts w:ascii="Times New Roman" w:hAnsi="Times New Roman"/>
                <w:sz w:val="19"/>
              </w:rPr>
              <w:t>4.2.2</w:t>
            </w:r>
          </w:p>
        </w:tc>
        <w:tc>
          <w:tcPr>
            <w:tcW w:type="dxa" w:w="3000"/>
            <w:shd w:fill="FFFFFF"/>
            <w:tcMar>
              <w:top w:w="40" w:type="dxa"/>
              <w:bottom w:w="40" w:type="dxa"/>
              <w:left w:w="80" w:type="dxa"/>
              <w:right w:w="80" w:type="dxa"/>
            </w:tcMar>
          </w:tcPr>
          <w:p>
            <w:pPr>
              <w:jc w:val="right"/>
            </w:pPr>
            <w:r>
              <w:rPr>
                <w:rFonts w:ascii="Times New Roman" w:hAnsi="Times New Roman"/>
                <w:sz w:val="19"/>
              </w:rPr>
              <w:t>24</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4.2.3 Profile Sandboxing &amp; Cryptographic Separation Subsystem</w:t>
            </w:r>
          </w:p>
        </w:tc>
        <w:tc>
          <w:tcPr>
            <w:tcW w:type="dxa" w:w="3000"/>
            <w:shd w:fill="F8FAFC"/>
            <w:tcMar>
              <w:top w:w="40" w:type="dxa"/>
              <w:bottom w:w="40" w:type="dxa"/>
              <w:left w:w="80" w:type="dxa"/>
              <w:right w:w="80" w:type="dxa"/>
            </w:tcMar>
          </w:tcPr>
          <w:p>
            <w:pPr>
              <w:jc w:val="center"/>
            </w:pPr>
            <w:r>
              <w:rPr>
                <w:rFonts w:ascii="Times New Roman" w:hAnsi="Times New Roman"/>
                <w:sz w:val="19"/>
              </w:rPr>
              <w:t>4.2.3</w:t>
            </w:r>
          </w:p>
        </w:tc>
        <w:tc>
          <w:tcPr>
            <w:tcW w:type="dxa" w:w="3000"/>
            <w:shd w:fill="F8FAFC"/>
            <w:tcMar>
              <w:top w:w="40" w:type="dxa"/>
              <w:bottom w:w="40" w:type="dxa"/>
              <w:left w:w="80" w:type="dxa"/>
              <w:right w:w="80" w:type="dxa"/>
            </w:tcMar>
          </w:tcPr>
          <w:p>
            <w:pPr>
              <w:jc w:val="right"/>
            </w:pPr>
            <w:r>
              <w:rPr>
                <w:rFonts w:ascii="Times New Roman" w:hAnsi="Times New Roman"/>
                <w:sz w:val="19"/>
              </w:rPr>
              <w:t>24</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4.2.4 Physiological Inference Engine &amp; Adaptive TinyML Module</w:t>
            </w:r>
          </w:p>
        </w:tc>
        <w:tc>
          <w:tcPr>
            <w:tcW w:type="dxa" w:w="3000"/>
            <w:shd w:fill="FFFFFF"/>
            <w:tcMar>
              <w:top w:w="40" w:type="dxa"/>
              <w:bottom w:w="40" w:type="dxa"/>
              <w:left w:w="80" w:type="dxa"/>
              <w:right w:w="80" w:type="dxa"/>
            </w:tcMar>
          </w:tcPr>
          <w:p>
            <w:pPr>
              <w:jc w:val="center"/>
            </w:pPr>
            <w:r>
              <w:rPr>
                <w:rFonts w:ascii="Times New Roman" w:hAnsi="Times New Roman"/>
                <w:sz w:val="19"/>
              </w:rPr>
              <w:t>4.2.4</w:t>
            </w:r>
          </w:p>
        </w:tc>
        <w:tc>
          <w:tcPr>
            <w:tcW w:type="dxa" w:w="3000"/>
            <w:shd w:fill="FFFFFF"/>
            <w:tcMar>
              <w:top w:w="40" w:type="dxa"/>
              <w:bottom w:w="40" w:type="dxa"/>
              <w:left w:w="80" w:type="dxa"/>
              <w:right w:w="80" w:type="dxa"/>
            </w:tcMar>
          </w:tcPr>
          <w:p>
            <w:pPr>
              <w:jc w:val="right"/>
            </w:pPr>
            <w:r>
              <w:rPr>
                <w:rFonts w:ascii="Times New Roman" w:hAnsi="Times New Roman"/>
                <w:sz w:val="19"/>
              </w:rPr>
              <w:t>25</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4.2.5 Glanceable UI &amp; Circular Gauge Rendering Subsystem</w:t>
            </w:r>
          </w:p>
        </w:tc>
        <w:tc>
          <w:tcPr>
            <w:tcW w:type="dxa" w:w="3000"/>
            <w:shd w:fill="F8FAFC"/>
            <w:tcMar>
              <w:top w:w="40" w:type="dxa"/>
              <w:bottom w:w="40" w:type="dxa"/>
              <w:left w:w="80" w:type="dxa"/>
              <w:right w:w="80" w:type="dxa"/>
            </w:tcMar>
          </w:tcPr>
          <w:p>
            <w:pPr>
              <w:jc w:val="center"/>
            </w:pPr>
            <w:r>
              <w:rPr>
                <w:rFonts w:ascii="Times New Roman" w:hAnsi="Times New Roman"/>
                <w:sz w:val="19"/>
              </w:rPr>
              <w:t>4.2.5</w:t>
            </w:r>
          </w:p>
        </w:tc>
        <w:tc>
          <w:tcPr>
            <w:tcW w:type="dxa" w:w="3000"/>
            <w:shd w:fill="F8FAFC"/>
            <w:tcMar>
              <w:top w:w="40" w:type="dxa"/>
              <w:bottom w:w="40" w:type="dxa"/>
              <w:left w:w="80" w:type="dxa"/>
              <w:right w:w="80" w:type="dxa"/>
            </w:tcMar>
          </w:tcPr>
          <w:p>
            <w:pPr>
              <w:jc w:val="right"/>
            </w:pPr>
            <w:r>
              <w:rPr>
                <w:rFonts w:ascii="Times New Roman" w:hAnsi="Times New Roman"/>
                <w:sz w:val="19"/>
              </w:rPr>
              <w:t>25</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4.3 Data Flow Diagrams (DFDs)</w:t>
            </w:r>
          </w:p>
        </w:tc>
        <w:tc>
          <w:tcPr>
            <w:tcW w:type="dxa" w:w="3000"/>
            <w:shd w:fill="FFFFFF"/>
            <w:tcMar>
              <w:top w:w="40" w:type="dxa"/>
              <w:bottom w:w="40" w:type="dxa"/>
              <w:left w:w="80" w:type="dxa"/>
              <w:right w:w="80" w:type="dxa"/>
            </w:tcMar>
          </w:tcPr>
          <w:p>
            <w:pPr>
              <w:jc w:val="center"/>
            </w:pPr>
            <w:r>
              <w:rPr>
                <w:rFonts w:ascii="Times New Roman" w:hAnsi="Times New Roman"/>
                <w:sz w:val="19"/>
              </w:rPr>
              <w:t>4.3</w:t>
            </w:r>
          </w:p>
        </w:tc>
        <w:tc>
          <w:tcPr>
            <w:tcW w:type="dxa" w:w="3000"/>
            <w:shd w:fill="FFFFFF"/>
            <w:tcMar>
              <w:top w:w="40" w:type="dxa"/>
              <w:bottom w:w="40" w:type="dxa"/>
              <w:left w:w="80" w:type="dxa"/>
              <w:right w:w="80" w:type="dxa"/>
            </w:tcMar>
          </w:tcPr>
          <w:p>
            <w:pPr>
              <w:jc w:val="right"/>
            </w:pPr>
            <w:r>
              <w:rPr>
                <w:rFonts w:ascii="Times New Roman" w:hAnsi="Times New Roman"/>
                <w:sz w:val="19"/>
              </w:rPr>
              <w:t>26</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4.3.1 Context Level DFD (Level 0)</w:t>
            </w:r>
          </w:p>
        </w:tc>
        <w:tc>
          <w:tcPr>
            <w:tcW w:type="dxa" w:w="3000"/>
            <w:shd w:fill="F8FAFC"/>
            <w:tcMar>
              <w:top w:w="40" w:type="dxa"/>
              <w:bottom w:w="40" w:type="dxa"/>
              <w:left w:w="80" w:type="dxa"/>
              <w:right w:w="80" w:type="dxa"/>
            </w:tcMar>
          </w:tcPr>
          <w:p>
            <w:pPr>
              <w:jc w:val="center"/>
            </w:pPr>
            <w:r>
              <w:rPr>
                <w:rFonts w:ascii="Times New Roman" w:hAnsi="Times New Roman"/>
                <w:sz w:val="19"/>
              </w:rPr>
              <w:t>4.3.1</w:t>
            </w:r>
          </w:p>
        </w:tc>
        <w:tc>
          <w:tcPr>
            <w:tcW w:type="dxa" w:w="3000"/>
            <w:shd w:fill="F8FAFC"/>
            <w:tcMar>
              <w:top w:w="40" w:type="dxa"/>
              <w:bottom w:w="40" w:type="dxa"/>
              <w:left w:w="80" w:type="dxa"/>
              <w:right w:w="80" w:type="dxa"/>
            </w:tcMar>
          </w:tcPr>
          <w:p>
            <w:pPr>
              <w:jc w:val="right"/>
            </w:pPr>
            <w:r>
              <w:rPr>
                <w:rFonts w:ascii="Times New Roman" w:hAnsi="Times New Roman"/>
                <w:sz w:val="19"/>
              </w:rPr>
              <w:t>26</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4.3.2 Subsystem Level DFD (Level 1)</w:t>
            </w:r>
          </w:p>
        </w:tc>
        <w:tc>
          <w:tcPr>
            <w:tcW w:type="dxa" w:w="3000"/>
            <w:shd w:fill="FFFFFF"/>
            <w:tcMar>
              <w:top w:w="40" w:type="dxa"/>
              <w:bottom w:w="40" w:type="dxa"/>
              <w:left w:w="80" w:type="dxa"/>
              <w:right w:w="80" w:type="dxa"/>
            </w:tcMar>
          </w:tcPr>
          <w:p>
            <w:pPr>
              <w:jc w:val="center"/>
            </w:pPr>
            <w:r>
              <w:rPr>
                <w:rFonts w:ascii="Times New Roman" w:hAnsi="Times New Roman"/>
                <w:sz w:val="19"/>
              </w:rPr>
              <w:t>4.3.2</w:t>
            </w:r>
          </w:p>
        </w:tc>
        <w:tc>
          <w:tcPr>
            <w:tcW w:type="dxa" w:w="3000"/>
            <w:shd w:fill="FFFFFF"/>
            <w:tcMar>
              <w:top w:w="40" w:type="dxa"/>
              <w:bottom w:w="40" w:type="dxa"/>
              <w:left w:w="80" w:type="dxa"/>
              <w:right w:w="80" w:type="dxa"/>
            </w:tcMar>
          </w:tcPr>
          <w:p>
            <w:pPr>
              <w:jc w:val="right"/>
            </w:pPr>
            <w:r>
              <w:rPr>
                <w:rFonts w:ascii="Times New Roman" w:hAnsi="Times New Roman"/>
                <w:sz w:val="19"/>
              </w:rPr>
              <w:t>27</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4.3.3 Detailed Process Flow DFD (Level 2)</w:t>
            </w:r>
          </w:p>
        </w:tc>
        <w:tc>
          <w:tcPr>
            <w:tcW w:type="dxa" w:w="3000"/>
            <w:shd w:fill="F8FAFC"/>
            <w:tcMar>
              <w:top w:w="40" w:type="dxa"/>
              <w:bottom w:w="40" w:type="dxa"/>
              <w:left w:w="80" w:type="dxa"/>
              <w:right w:w="80" w:type="dxa"/>
            </w:tcMar>
          </w:tcPr>
          <w:p>
            <w:pPr>
              <w:jc w:val="center"/>
            </w:pPr>
            <w:r>
              <w:rPr>
                <w:rFonts w:ascii="Times New Roman" w:hAnsi="Times New Roman"/>
                <w:sz w:val="19"/>
              </w:rPr>
              <w:t>4.3.3</w:t>
            </w:r>
          </w:p>
        </w:tc>
        <w:tc>
          <w:tcPr>
            <w:tcW w:type="dxa" w:w="3000"/>
            <w:shd w:fill="F8FAFC"/>
            <w:tcMar>
              <w:top w:w="40" w:type="dxa"/>
              <w:bottom w:w="40" w:type="dxa"/>
              <w:left w:w="80" w:type="dxa"/>
              <w:right w:w="80" w:type="dxa"/>
            </w:tcMar>
          </w:tcPr>
          <w:p>
            <w:pPr>
              <w:jc w:val="right"/>
            </w:pPr>
            <w:r>
              <w:rPr>
                <w:rFonts w:ascii="Times New Roman" w:hAnsi="Times New Roman"/>
                <w:sz w:val="19"/>
              </w:rPr>
              <w:t>28</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4.3.4 Comprehensive Data Dictionary and Entity Descriptions</w:t>
            </w:r>
          </w:p>
        </w:tc>
        <w:tc>
          <w:tcPr>
            <w:tcW w:type="dxa" w:w="3000"/>
            <w:shd w:fill="FFFFFF"/>
            <w:tcMar>
              <w:top w:w="40" w:type="dxa"/>
              <w:bottom w:w="40" w:type="dxa"/>
              <w:left w:w="80" w:type="dxa"/>
              <w:right w:w="80" w:type="dxa"/>
            </w:tcMar>
          </w:tcPr>
          <w:p>
            <w:pPr>
              <w:jc w:val="center"/>
            </w:pPr>
            <w:r>
              <w:rPr>
                <w:rFonts w:ascii="Times New Roman" w:hAnsi="Times New Roman"/>
                <w:sz w:val="19"/>
              </w:rPr>
              <w:t>4.3.4</w:t>
            </w:r>
          </w:p>
        </w:tc>
        <w:tc>
          <w:tcPr>
            <w:tcW w:type="dxa" w:w="3000"/>
            <w:shd w:fill="FFFFFF"/>
            <w:tcMar>
              <w:top w:w="40" w:type="dxa"/>
              <w:bottom w:w="40" w:type="dxa"/>
              <w:left w:w="80" w:type="dxa"/>
              <w:right w:w="80" w:type="dxa"/>
            </w:tcMar>
          </w:tcPr>
          <w:p>
            <w:pPr>
              <w:jc w:val="right"/>
            </w:pPr>
            <w:r>
              <w:rPr>
                <w:rFonts w:ascii="Times New Roman" w:hAnsi="Times New Roman"/>
                <w:sz w:val="19"/>
              </w:rPr>
              <w:t>29</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4.4 Physiological Modeling and Mathematical Formulations</w:t>
            </w:r>
          </w:p>
        </w:tc>
        <w:tc>
          <w:tcPr>
            <w:tcW w:type="dxa" w:w="3000"/>
            <w:shd w:fill="F8FAFC"/>
            <w:tcMar>
              <w:top w:w="40" w:type="dxa"/>
              <w:bottom w:w="40" w:type="dxa"/>
              <w:left w:w="80" w:type="dxa"/>
              <w:right w:w="80" w:type="dxa"/>
            </w:tcMar>
          </w:tcPr>
          <w:p>
            <w:pPr>
              <w:jc w:val="center"/>
            </w:pPr>
            <w:r>
              <w:rPr>
                <w:rFonts w:ascii="Times New Roman" w:hAnsi="Times New Roman"/>
                <w:sz w:val="19"/>
              </w:rPr>
              <w:t>4.4</w:t>
            </w:r>
          </w:p>
        </w:tc>
        <w:tc>
          <w:tcPr>
            <w:tcW w:type="dxa" w:w="3000"/>
            <w:shd w:fill="F8FAFC"/>
            <w:tcMar>
              <w:top w:w="40" w:type="dxa"/>
              <w:bottom w:w="40" w:type="dxa"/>
              <w:left w:w="80" w:type="dxa"/>
              <w:right w:w="80" w:type="dxa"/>
            </w:tcMar>
          </w:tcPr>
          <w:p>
            <w:pPr>
              <w:jc w:val="right"/>
            </w:pPr>
            <w:r>
              <w:rPr>
                <w:rFonts w:ascii="Times New Roman" w:hAnsi="Times New Roman"/>
                <w:sz w:val="19"/>
              </w:rPr>
              <w:t>30</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4.4.1 Maximum Heart Rate Modeling (Tanaka &amp; Gulati Equations)</w:t>
            </w:r>
          </w:p>
        </w:tc>
        <w:tc>
          <w:tcPr>
            <w:tcW w:type="dxa" w:w="3000"/>
            <w:shd w:fill="FFFFFF"/>
            <w:tcMar>
              <w:top w:w="40" w:type="dxa"/>
              <w:bottom w:w="40" w:type="dxa"/>
              <w:left w:w="80" w:type="dxa"/>
              <w:right w:w="80" w:type="dxa"/>
            </w:tcMar>
          </w:tcPr>
          <w:p>
            <w:pPr>
              <w:jc w:val="center"/>
            </w:pPr>
            <w:r>
              <w:rPr>
                <w:rFonts w:ascii="Times New Roman" w:hAnsi="Times New Roman"/>
                <w:sz w:val="19"/>
              </w:rPr>
              <w:t>4.4.1</w:t>
            </w:r>
          </w:p>
        </w:tc>
        <w:tc>
          <w:tcPr>
            <w:tcW w:type="dxa" w:w="3000"/>
            <w:shd w:fill="FFFFFF"/>
            <w:tcMar>
              <w:top w:w="40" w:type="dxa"/>
              <w:bottom w:w="40" w:type="dxa"/>
              <w:left w:w="80" w:type="dxa"/>
              <w:right w:w="80" w:type="dxa"/>
            </w:tcMar>
          </w:tcPr>
          <w:p>
            <w:pPr>
              <w:jc w:val="right"/>
            </w:pPr>
            <w:r>
              <w:rPr>
                <w:rFonts w:ascii="Times New Roman" w:hAnsi="Times New Roman"/>
                <w:sz w:val="19"/>
              </w:rPr>
              <w:t>30</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4.4.2 Karvonen Heart Rate Reserve (HRR) and Zone Stratification</w:t>
            </w:r>
          </w:p>
        </w:tc>
        <w:tc>
          <w:tcPr>
            <w:tcW w:type="dxa" w:w="3000"/>
            <w:shd w:fill="F8FAFC"/>
            <w:tcMar>
              <w:top w:w="40" w:type="dxa"/>
              <w:bottom w:w="40" w:type="dxa"/>
              <w:left w:w="80" w:type="dxa"/>
              <w:right w:w="80" w:type="dxa"/>
            </w:tcMar>
          </w:tcPr>
          <w:p>
            <w:pPr>
              <w:jc w:val="center"/>
            </w:pPr>
            <w:r>
              <w:rPr>
                <w:rFonts w:ascii="Times New Roman" w:hAnsi="Times New Roman"/>
                <w:sz w:val="19"/>
              </w:rPr>
              <w:t>4.4.2</w:t>
            </w:r>
          </w:p>
        </w:tc>
        <w:tc>
          <w:tcPr>
            <w:tcW w:type="dxa" w:w="3000"/>
            <w:shd w:fill="F8FAFC"/>
            <w:tcMar>
              <w:top w:w="40" w:type="dxa"/>
              <w:bottom w:w="40" w:type="dxa"/>
              <w:left w:w="80" w:type="dxa"/>
              <w:right w:w="80" w:type="dxa"/>
            </w:tcMar>
          </w:tcPr>
          <w:p>
            <w:pPr>
              <w:jc w:val="right"/>
            </w:pPr>
            <w:r>
              <w:rPr>
                <w:rFonts w:ascii="Times New Roman" w:hAnsi="Times New Roman"/>
                <w:sz w:val="19"/>
              </w:rPr>
              <w:t>31</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4.4.3 Belenky Multi-Night Sleep Debt Carryover Formulation</w:t>
            </w:r>
          </w:p>
        </w:tc>
        <w:tc>
          <w:tcPr>
            <w:tcW w:type="dxa" w:w="3000"/>
            <w:shd w:fill="FFFFFF"/>
            <w:tcMar>
              <w:top w:w="40" w:type="dxa"/>
              <w:bottom w:w="40" w:type="dxa"/>
              <w:left w:w="80" w:type="dxa"/>
              <w:right w:w="80" w:type="dxa"/>
            </w:tcMar>
          </w:tcPr>
          <w:p>
            <w:pPr>
              <w:jc w:val="center"/>
            </w:pPr>
            <w:r>
              <w:rPr>
                <w:rFonts w:ascii="Times New Roman" w:hAnsi="Times New Roman"/>
                <w:sz w:val="19"/>
              </w:rPr>
              <w:t>4.4.3</w:t>
            </w:r>
          </w:p>
        </w:tc>
        <w:tc>
          <w:tcPr>
            <w:tcW w:type="dxa" w:w="3000"/>
            <w:shd w:fill="FFFFFF"/>
            <w:tcMar>
              <w:top w:w="40" w:type="dxa"/>
              <w:bottom w:w="40" w:type="dxa"/>
              <w:left w:w="80" w:type="dxa"/>
              <w:right w:w="80" w:type="dxa"/>
            </w:tcMar>
          </w:tcPr>
          <w:p>
            <w:pPr>
              <w:jc w:val="right"/>
            </w:pPr>
            <w:r>
              <w:rPr>
                <w:rFonts w:ascii="Times New Roman" w:hAnsi="Times New Roman"/>
                <w:sz w:val="19"/>
              </w:rPr>
              <w:t>31</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4.4.4 Adaptive Exponential Moving Average (EMA) Baseline Tracking</w:t>
            </w:r>
          </w:p>
        </w:tc>
        <w:tc>
          <w:tcPr>
            <w:tcW w:type="dxa" w:w="3000"/>
            <w:shd w:fill="F8FAFC"/>
            <w:tcMar>
              <w:top w:w="40" w:type="dxa"/>
              <w:bottom w:w="40" w:type="dxa"/>
              <w:left w:w="80" w:type="dxa"/>
              <w:right w:w="80" w:type="dxa"/>
            </w:tcMar>
          </w:tcPr>
          <w:p>
            <w:pPr>
              <w:jc w:val="center"/>
            </w:pPr>
            <w:r>
              <w:rPr>
                <w:rFonts w:ascii="Times New Roman" w:hAnsi="Times New Roman"/>
                <w:sz w:val="19"/>
              </w:rPr>
              <w:t>4.4.4</w:t>
            </w:r>
          </w:p>
        </w:tc>
        <w:tc>
          <w:tcPr>
            <w:tcW w:type="dxa" w:w="3000"/>
            <w:shd w:fill="F8FAFC"/>
            <w:tcMar>
              <w:top w:w="40" w:type="dxa"/>
              <w:bottom w:w="40" w:type="dxa"/>
              <w:left w:w="80" w:type="dxa"/>
              <w:right w:w="80" w:type="dxa"/>
            </w:tcMar>
          </w:tcPr>
          <w:p>
            <w:pPr>
              <w:jc w:val="right"/>
            </w:pPr>
            <w:r>
              <w:rPr>
                <w:rFonts w:ascii="Times New Roman" w:hAnsi="Times New Roman"/>
                <w:sz w:val="19"/>
              </w:rPr>
              <w:t>32</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4.4.5 Micro-SGD On-Device Learning &amp; Gradient Bounding</w:t>
            </w:r>
          </w:p>
        </w:tc>
        <w:tc>
          <w:tcPr>
            <w:tcW w:type="dxa" w:w="3000"/>
            <w:shd w:fill="FFFFFF"/>
            <w:tcMar>
              <w:top w:w="40" w:type="dxa"/>
              <w:bottom w:w="40" w:type="dxa"/>
              <w:left w:w="80" w:type="dxa"/>
              <w:right w:w="80" w:type="dxa"/>
            </w:tcMar>
          </w:tcPr>
          <w:p>
            <w:pPr>
              <w:jc w:val="center"/>
            </w:pPr>
            <w:r>
              <w:rPr>
                <w:rFonts w:ascii="Times New Roman" w:hAnsi="Times New Roman"/>
                <w:sz w:val="19"/>
              </w:rPr>
              <w:t>4.4.5</w:t>
            </w:r>
          </w:p>
        </w:tc>
        <w:tc>
          <w:tcPr>
            <w:tcW w:type="dxa" w:w="3000"/>
            <w:shd w:fill="FFFFFF"/>
            <w:tcMar>
              <w:top w:w="40" w:type="dxa"/>
              <w:bottom w:w="40" w:type="dxa"/>
              <w:left w:w="80" w:type="dxa"/>
              <w:right w:w="80" w:type="dxa"/>
            </w:tcMar>
          </w:tcPr>
          <w:p>
            <w:pPr>
              <w:jc w:val="right"/>
            </w:pPr>
            <w:r>
              <w:rPr>
                <w:rFonts w:ascii="Times New Roman" w:hAnsi="Times New Roman"/>
                <w:sz w:val="19"/>
              </w:rPr>
              <w:t>32</w:t>
            </w:r>
          </w:p>
        </w:tc>
      </w:tr>
      <w:tr>
        <w:tc>
          <w:tcPr>
            <w:tcW w:type="dxa" w:w="3000"/>
            <w:shd w:fill="F8FAFC"/>
            <w:tcMar>
              <w:top w:w="40" w:type="dxa"/>
              <w:bottom w:w="40" w:type="dxa"/>
              <w:left w:w="80" w:type="dxa"/>
              <w:right w:w="80" w:type="dxa"/>
            </w:tcMar>
          </w:tcPr>
          <w:p>
            <w:pPr>
              <w:spacing w:line="276" w:lineRule="auto"/>
            </w:pPr>
            <w:r>
              <w:rPr>
                <w:rFonts w:ascii="Times New Roman" w:hAnsi="Times New Roman"/>
                <w:b/>
                <w:sz w:val="19"/>
              </w:rPr>
              <w:t>CHAPTER 5: IMPLEMENTATION</w:t>
            </w:r>
          </w:p>
        </w:tc>
        <w:tc>
          <w:tcPr>
            <w:tcW w:type="dxa" w:w="3000"/>
            <w:shd w:fill="F8FAFC"/>
            <w:tcMar>
              <w:top w:w="40" w:type="dxa"/>
              <w:bottom w:w="40" w:type="dxa"/>
              <w:left w:w="80" w:type="dxa"/>
              <w:right w:w="80" w:type="dxa"/>
            </w:tcMar>
          </w:tcPr>
          <w:p>
            <w:pPr>
              <w:jc w:val="center"/>
            </w:pPr>
            <w:r>
              <w:rPr>
                <w:rFonts w:ascii="Times New Roman" w:hAnsi="Times New Roman"/>
                <w:sz w:val="19"/>
              </w:rPr>
            </w:r>
          </w:p>
        </w:tc>
        <w:tc>
          <w:tcPr>
            <w:tcW w:type="dxa" w:w="3000"/>
            <w:shd w:fill="F8FAFC"/>
            <w:tcMar>
              <w:top w:w="40" w:type="dxa"/>
              <w:bottom w:w="40" w:type="dxa"/>
              <w:left w:w="80" w:type="dxa"/>
              <w:right w:w="80" w:type="dxa"/>
            </w:tcMar>
          </w:tcPr>
          <w:p>
            <w:pPr>
              <w:jc w:val="right"/>
            </w:pPr>
            <w:r>
              <w:rPr>
                <w:rFonts w:ascii="Times New Roman" w:hAnsi="Times New Roman"/>
                <w:b/>
                <w:sz w:val="19"/>
              </w:rPr>
              <w:t>33</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5.1 Tools, Frameworks, and Operating Environments</w:t>
            </w:r>
          </w:p>
        </w:tc>
        <w:tc>
          <w:tcPr>
            <w:tcW w:type="dxa" w:w="3000"/>
            <w:shd w:fill="FFFFFF"/>
            <w:tcMar>
              <w:top w:w="40" w:type="dxa"/>
              <w:bottom w:w="40" w:type="dxa"/>
              <w:left w:w="80" w:type="dxa"/>
              <w:right w:w="80" w:type="dxa"/>
            </w:tcMar>
          </w:tcPr>
          <w:p>
            <w:pPr>
              <w:jc w:val="center"/>
            </w:pPr>
            <w:r>
              <w:rPr>
                <w:rFonts w:ascii="Times New Roman" w:hAnsi="Times New Roman"/>
                <w:sz w:val="19"/>
              </w:rPr>
              <w:t>5.1</w:t>
            </w:r>
          </w:p>
        </w:tc>
        <w:tc>
          <w:tcPr>
            <w:tcW w:type="dxa" w:w="3000"/>
            <w:shd w:fill="FFFFFF"/>
            <w:tcMar>
              <w:top w:w="40" w:type="dxa"/>
              <w:bottom w:w="40" w:type="dxa"/>
              <w:left w:w="80" w:type="dxa"/>
              <w:right w:w="80" w:type="dxa"/>
            </w:tcMar>
          </w:tcPr>
          <w:p>
            <w:pPr>
              <w:jc w:val="right"/>
            </w:pPr>
            <w:r>
              <w:rPr>
                <w:rFonts w:ascii="Times New Roman" w:hAnsi="Times New Roman"/>
                <w:sz w:val="19"/>
              </w:rPr>
              <w:t>33</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5.1.1 Embedded Hardware Platforms and System Specifications</w:t>
            </w:r>
          </w:p>
        </w:tc>
        <w:tc>
          <w:tcPr>
            <w:tcW w:type="dxa" w:w="3000"/>
            <w:shd w:fill="F8FAFC"/>
            <w:tcMar>
              <w:top w:w="40" w:type="dxa"/>
              <w:bottom w:w="40" w:type="dxa"/>
              <w:left w:w="80" w:type="dxa"/>
              <w:right w:w="80" w:type="dxa"/>
            </w:tcMar>
          </w:tcPr>
          <w:p>
            <w:pPr>
              <w:jc w:val="center"/>
            </w:pPr>
            <w:r>
              <w:rPr>
                <w:rFonts w:ascii="Times New Roman" w:hAnsi="Times New Roman"/>
                <w:sz w:val="19"/>
              </w:rPr>
              <w:t>5.1.1</w:t>
            </w:r>
          </w:p>
        </w:tc>
        <w:tc>
          <w:tcPr>
            <w:tcW w:type="dxa" w:w="3000"/>
            <w:shd w:fill="F8FAFC"/>
            <w:tcMar>
              <w:top w:w="40" w:type="dxa"/>
              <w:bottom w:w="40" w:type="dxa"/>
              <w:left w:w="80" w:type="dxa"/>
              <w:right w:w="80" w:type="dxa"/>
            </w:tcMar>
          </w:tcPr>
          <w:p>
            <w:pPr>
              <w:jc w:val="right"/>
            </w:pPr>
            <w:r>
              <w:rPr>
                <w:rFonts w:ascii="Times New Roman" w:hAnsi="Times New Roman"/>
                <w:sz w:val="19"/>
              </w:rPr>
              <w:t>33</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5.1.2 Software Libraries, Frameworks, and Toolchains</w:t>
            </w:r>
          </w:p>
        </w:tc>
        <w:tc>
          <w:tcPr>
            <w:tcW w:type="dxa" w:w="3000"/>
            <w:shd w:fill="FFFFFF"/>
            <w:tcMar>
              <w:top w:w="40" w:type="dxa"/>
              <w:bottom w:w="40" w:type="dxa"/>
              <w:left w:w="80" w:type="dxa"/>
              <w:right w:w="80" w:type="dxa"/>
            </w:tcMar>
          </w:tcPr>
          <w:p>
            <w:pPr>
              <w:jc w:val="center"/>
            </w:pPr>
            <w:r>
              <w:rPr>
                <w:rFonts w:ascii="Times New Roman" w:hAnsi="Times New Roman"/>
                <w:sz w:val="19"/>
              </w:rPr>
              <w:t>5.1.2</w:t>
            </w:r>
          </w:p>
        </w:tc>
        <w:tc>
          <w:tcPr>
            <w:tcW w:type="dxa" w:w="3000"/>
            <w:shd w:fill="FFFFFF"/>
            <w:tcMar>
              <w:top w:w="40" w:type="dxa"/>
              <w:bottom w:w="40" w:type="dxa"/>
              <w:left w:w="80" w:type="dxa"/>
              <w:right w:w="80" w:type="dxa"/>
            </w:tcMar>
          </w:tcPr>
          <w:p>
            <w:pPr>
              <w:jc w:val="right"/>
            </w:pPr>
            <w:r>
              <w:rPr>
                <w:rFonts w:ascii="Times New Roman" w:hAnsi="Times New Roman"/>
                <w:sz w:val="19"/>
              </w:rPr>
              <w:t>34</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5.1.3 Development Environment, Tooling, and Testbenches</w:t>
            </w:r>
          </w:p>
        </w:tc>
        <w:tc>
          <w:tcPr>
            <w:tcW w:type="dxa" w:w="3000"/>
            <w:shd w:fill="F8FAFC"/>
            <w:tcMar>
              <w:top w:w="40" w:type="dxa"/>
              <w:bottom w:w="40" w:type="dxa"/>
              <w:left w:w="80" w:type="dxa"/>
              <w:right w:w="80" w:type="dxa"/>
            </w:tcMar>
          </w:tcPr>
          <w:p>
            <w:pPr>
              <w:jc w:val="center"/>
            </w:pPr>
            <w:r>
              <w:rPr>
                <w:rFonts w:ascii="Times New Roman" w:hAnsi="Times New Roman"/>
                <w:sz w:val="19"/>
              </w:rPr>
              <w:t>5.1.3</w:t>
            </w:r>
          </w:p>
        </w:tc>
        <w:tc>
          <w:tcPr>
            <w:tcW w:type="dxa" w:w="3000"/>
            <w:shd w:fill="F8FAFC"/>
            <w:tcMar>
              <w:top w:w="40" w:type="dxa"/>
              <w:bottom w:w="40" w:type="dxa"/>
              <w:left w:w="80" w:type="dxa"/>
              <w:right w:w="80" w:type="dxa"/>
            </w:tcMar>
          </w:tcPr>
          <w:p>
            <w:pPr>
              <w:jc w:val="right"/>
            </w:pPr>
            <w:r>
              <w:rPr>
                <w:rFonts w:ascii="Times New Roman" w:hAnsi="Times New Roman"/>
                <w:sz w:val="19"/>
              </w:rPr>
              <w:t>35</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5.2 Detailed Subsystem and Module Descriptions</w:t>
            </w:r>
          </w:p>
        </w:tc>
        <w:tc>
          <w:tcPr>
            <w:tcW w:type="dxa" w:w="3000"/>
            <w:shd w:fill="FFFFFF"/>
            <w:tcMar>
              <w:top w:w="40" w:type="dxa"/>
              <w:bottom w:w="40" w:type="dxa"/>
              <w:left w:w="80" w:type="dxa"/>
              <w:right w:w="80" w:type="dxa"/>
            </w:tcMar>
          </w:tcPr>
          <w:p>
            <w:pPr>
              <w:jc w:val="center"/>
            </w:pPr>
            <w:r>
              <w:rPr>
                <w:rFonts w:ascii="Times New Roman" w:hAnsi="Times New Roman"/>
                <w:sz w:val="19"/>
              </w:rPr>
              <w:t>5.2</w:t>
            </w:r>
          </w:p>
        </w:tc>
        <w:tc>
          <w:tcPr>
            <w:tcW w:type="dxa" w:w="3000"/>
            <w:shd w:fill="FFFFFF"/>
            <w:tcMar>
              <w:top w:w="40" w:type="dxa"/>
              <w:bottom w:w="40" w:type="dxa"/>
              <w:left w:w="80" w:type="dxa"/>
              <w:right w:w="80" w:type="dxa"/>
            </w:tcMar>
          </w:tcPr>
          <w:p>
            <w:pPr>
              <w:jc w:val="right"/>
            </w:pPr>
            <w:r>
              <w:rPr>
                <w:rFonts w:ascii="Times New Roman" w:hAnsi="Times New Roman"/>
                <w:sz w:val="19"/>
              </w:rPr>
              <w:t>35</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5.2.1 Module 1: Continuous Biosignal Ingestion &amp; Quality Filtering</w:t>
            </w:r>
          </w:p>
        </w:tc>
        <w:tc>
          <w:tcPr>
            <w:tcW w:type="dxa" w:w="3000"/>
            <w:shd w:fill="F8FAFC"/>
            <w:tcMar>
              <w:top w:w="40" w:type="dxa"/>
              <w:bottom w:w="40" w:type="dxa"/>
              <w:left w:w="80" w:type="dxa"/>
              <w:right w:w="80" w:type="dxa"/>
            </w:tcMar>
          </w:tcPr>
          <w:p>
            <w:pPr>
              <w:jc w:val="center"/>
            </w:pPr>
            <w:r>
              <w:rPr>
                <w:rFonts w:ascii="Times New Roman" w:hAnsi="Times New Roman"/>
                <w:sz w:val="19"/>
              </w:rPr>
              <w:t>5.2.1</w:t>
            </w:r>
          </w:p>
        </w:tc>
        <w:tc>
          <w:tcPr>
            <w:tcW w:type="dxa" w:w="3000"/>
            <w:shd w:fill="F8FAFC"/>
            <w:tcMar>
              <w:top w:w="40" w:type="dxa"/>
              <w:bottom w:w="40" w:type="dxa"/>
              <w:left w:w="80" w:type="dxa"/>
              <w:right w:w="80" w:type="dxa"/>
            </w:tcMar>
          </w:tcPr>
          <w:p>
            <w:pPr>
              <w:jc w:val="right"/>
            </w:pPr>
            <w:r>
              <w:rPr>
                <w:rFonts w:ascii="Times New Roman" w:hAnsi="Times New Roman"/>
                <w:sz w:val="19"/>
              </w:rPr>
              <w:t>35</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5.2.2 Module 2: Demographic Baseline Stratification &amp; Profile Manager</w:t>
            </w:r>
          </w:p>
        </w:tc>
        <w:tc>
          <w:tcPr>
            <w:tcW w:type="dxa" w:w="3000"/>
            <w:shd w:fill="FFFFFF"/>
            <w:tcMar>
              <w:top w:w="40" w:type="dxa"/>
              <w:bottom w:w="40" w:type="dxa"/>
              <w:left w:w="80" w:type="dxa"/>
              <w:right w:w="80" w:type="dxa"/>
            </w:tcMar>
          </w:tcPr>
          <w:p>
            <w:pPr>
              <w:jc w:val="center"/>
            </w:pPr>
            <w:r>
              <w:rPr>
                <w:rFonts w:ascii="Times New Roman" w:hAnsi="Times New Roman"/>
                <w:sz w:val="19"/>
              </w:rPr>
              <w:t>5.2.2</w:t>
            </w:r>
          </w:p>
        </w:tc>
        <w:tc>
          <w:tcPr>
            <w:tcW w:type="dxa" w:w="3000"/>
            <w:shd w:fill="FFFFFF"/>
            <w:tcMar>
              <w:top w:w="40" w:type="dxa"/>
              <w:bottom w:w="40" w:type="dxa"/>
              <w:left w:w="80" w:type="dxa"/>
              <w:right w:w="80" w:type="dxa"/>
            </w:tcMar>
          </w:tcPr>
          <w:p>
            <w:pPr>
              <w:jc w:val="right"/>
            </w:pPr>
            <w:r>
              <w:rPr>
                <w:rFonts w:ascii="Times New Roman" w:hAnsi="Times New Roman"/>
                <w:sz w:val="19"/>
              </w:rPr>
              <w:t>36</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5.2.3 Module 3: 48-Hour Calibration State Machine</w:t>
            </w:r>
          </w:p>
        </w:tc>
        <w:tc>
          <w:tcPr>
            <w:tcW w:type="dxa" w:w="3000"/>
            <w:shd w:fill="F8FAFC"/>
            <w:tcMar>
              <w:top w:w="40" w:type="dxa"/>
              <w:bottom w:w="40" w:type="dxa"/>
              <w:left w:w="80" w:type="dxa"/>
              <w:right w:w="80" w:type="dxa"/>
            </w:tcMar>
          </w:tcPr>
          <w:p>
            <w:pPr>
              <w:jc w:val="center"/>
            </w:pPr>
            <w:r>
              <w:rPr>
                <w:rFonts w:ascii="Times New Roman" w:hAnsi="Times New Roman"/>
                <w:sz w:val="19"/>
              </w:rPr>
              <w:t>5.2.3</w:t>
            </w:r>
          </w:p>
        </w:tc>
        <w:tc>
          <w:tcPr>
            <w:tcW w:type="dxa" w:w="3000"/>
            <w:shd w:fill="F8FAFC"/>
            <w:tcMar>
              <w:top w:w="40" w:type="dxa"/>
              <w:bottom w:w="40" w:type="dxa"/>
              <w:left w:w="80" w:type="dxa"/>
              <w:right w:w="80" w:type="dxa"/>
            </w:tcMar>
          </w:tcPr>
          <w:p>
            <w:pPr>
              <w:jc w:val="right"/>
            </w:pPr>
            <w:r>
              <w:rPr>
                <w:rFonts w:ascii="Times New Roman" w:hAnsi="Times New Roman"/>
                <w:sz w:val="19"/>
              </w:rPr>
              <w:t>36</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5.2.4 Module 4: Dynamic Prescription Synthesis Generator</w:t>
            </w:r>
          </w:p>
        </w:tc>
        <w:tc>
          <w:tcPr>
            <w:tcW w:type="dxa" w:w="3000"/>
            <w:shd w:fill="FFFFFF"/>
            <w:tcMar>
              <w:top w:w="40" w:type="dxa"/>
              <w:bottom w:w="40" w:type="dxa"/>
              <w:left w:w="80" w:type="dxa"/>
              <w:right w:w="80" w:type="dxa"/>
            </w:tcMar>
          </w:tcPr>
          <w:p>
            <w:pPr>
              <w:jc w:val="center"/>
            </w:pPr>
            <w:r>
              <w:rPr>
                <w:rFonts w:ascii="Times New Roman" w:hAnsi="Times New Roman"/>
                <w:sz w:val="19"/>
              </w:rPr>
              <w:t>5.2.4</w:t>
            </w:r>
          </w:p>
        </w:tc>
        <w:tc>
          <w:tcPr>
            <w:tcW w:type="dxa" w:w="3000"/>
            <w:shd w:fill="FFFFFF"/>
            <w:tcMar>
              <w:top w:w="40" w:type="dxa"/>
              <w:bottom w:w="40" w:type="dxa"/>
              <w:left w:w="80" w:type="dxa"/>
              <w:right w:w="80" w:type="dxa"/>
            </w:tcMar>
          </w:tcPr>
          <w:p>
            <w:pPr>
              <w:jc w:val="right"/>
            </w:pPr>
            <w:r>
              <w:rPr>
                <w:rFonts w:ascii="Times New Roman" w:hAnsi="Times New Roman"/>
                <w:sz w:val="19"/>
              </w:rPr>
              <w:t>37</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5.2.5 Module 5: On-Device TinyML Micro-SGD Optimization Engine</w:t>
            </w:r>
          </w:p>
        </w:tc>
        <w:tc>
          <w:tcPr>
            <w:tcW w:type="dxa" w:w="3000"/>
            <w:shd w:fill="F8FAFC"/>
            <w:tcMar>
              <w:top w:w="40" w:type="dxa"/>
              <w:bottom w:w="40" w:type="dxa"/>
              <w:left w:w="80" w:type="dxa"/>
              <w:right w:w="80" w:type="dxa"/>
            </w:tcMar>
          </w:tcPr>
          <w:p>
            <w:pPr>
              <w:jc w:val="center"/>
            </w:pPr>
            <w:r>
              <w:rPr>
                <w:rFonts w:ascii="Times New Roman" w:hAnsi="Times New Roman"/>
                <w:sz w:val="19"/>
              </w:rPr>
              <w:t>5.2.5</w:t>
            </w:r>
          </w:p>
        </w:tc>
        <w:tc>
          <w:tcPr>
            <w:tcW w:type="dxa" w:w="3000"/>
            <w:shd w:fill="F8FAFC"/>
            <w:tcMar>
              <w:top w:w="40" w:type="dxa"/>
              <w:bottom w:w="40" w:type="dxa"/>
              <w:left w:w="80" w:type="dxa"/>
              <w:right w:w="80" w:type="dxa"/>
            </w:tcMar>
          </w:tcPr>
          <w:p>
            <w:pPr>
              <w:jc w:val="right"/>
            </w:pPr>
            <w:r>
              <w:rPr>
                <w:rFonts w:ascii="Times New Roman" w:hAnsi="Times New Roman"/>
                <w:sz w:val="19"/>
              </w:rPr>
              <w:t>37</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5.2.6 Module 6: Glanceable Canvas-Based Circular Ring Visualizer</w:t>
            </w:r>
          </w:p>
        </w:tc>
        <w:tc>
          <w:tcPr>
            <w:tcW w:type="dxa" w:w="3000"/>
            <w:shd w:fill="FFFFFF"/>
            <w:tcMar>
              <w:top w:w="40" w:type="dxa"/>
              <w:bottom w:w="40" w:type="dxa"/>
              <w:left w:w="80" w:type="dxa"/>
              <w:right w:w="80" w:type="dxa"/>
            </w:tcMar>
          </w:tcPr>
          <w:p>
            <w:pPr>
              <w:jc w:val="center"/>
            </w:pPr>
            <w:r>
              <w:rPr>
                <w:rFonts w:ascii="Times New Roman" w:hAnsi="Times New Roman"/>
                <w:sz w:val="19"/>
              </w:rPr>
              <w:t>5.2.6</w:t>
            </w:r>
          </w:p>
        </w:tc>
        <w:tc>
          <w:tcPr>
            <w:tcW w:type="dxa" w:w="3000"/>
            <w:shd w:fill="FFFFFF"/>
            <w:tcMar>
              <w:top w:w="40" w:type="dxa"/>
              <w:bottom w:w="40" w:type="dxa"/>
              <w:left w:w="80" w:type="dxa"/>
              <w:right w:w="80" w:type="dxa"/>
            </w:tcMar>
          </w:tcPr>
          <w:p>
            <w:pPr>
              <w:jc w:val="right"/>
            </w:pPr>
            <w:r>
              <w:rPr>
                <w:rFonts w:ascii="Times New Roman" w:hAnsi="Times New Roman"/>
                <w:sz w:val="19"/>
              </w:rPr>
              <w:t>38</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5.3 Algorithmic Workflows and Methods</w:t>
            </w:r>
          </w:p>
        </w:tc>
        <w:tc>
          <w:tcPr>
            <w:tcW w:type="dxa" w:w="3000"/>
            <w:shd w:fill="F8FAFC"/>
            <w:tcMar>
              <w:top w:w="40" w:type="dxa"/>
              <w:bottom w:w="40" w:type="dxa"/>
              <w:left w:w="80" w:type="dxa"/>
              <w:right w:w="80" w:type="dxa"/>
            </w:tcMar>
          </w:tcPr>
          <w:p>
            <w:pPr>
              <w:jc w:val="center"/>
            </w:pPr>
            <w:r>
              <w:rPr>
                <w:rFonts w:ascii="Times New Roman" w:hAnsi="Times New Roman"/>
                <w:sz w:val="19"/>
              </w:rPr>
              <w:t>5.3</w:t>
            </w:r>
          </w:p>
        </w:tc>
        <w:tc>
          <w:tcPr>
            <w:tcW w:type="dxa" w:w="3000"/>
            <w:shd w:fill="F8FAFC"/>
            <w:tcMar>
              <w:top w:w="40" w:type="dxa"/>
              <w:bottom w:w="40" w:type="dxa"/>
              <w:left w:w="80" w:type="dxa"/>
              <w:right w:w="80" w:type="dxa"/>
            </w:tcMar>
          </w:tcPr>
          <w:p>
            <w:pPr>
              <w:jc w:val="right"/>
            </w:pPr>
            <w:r>
              <w:rPr>
                <w:rFonts w:ascii="Times New Roman" w:hAnsi="Times New Roman"/>
                <w:sz w:val="19"/>
              </w:rPr>
              <w:t>38</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5.3.1 Algorithm 5.1: Real-Time Signal Quality Index (SQI) and Artifact Filter</w:t>
            </w:r>
          </w:p>
        </w:tc>
        <w:tc>
          <w:tcPr>
            <w:tcW w:type="dxa" w:w="3000"/>
            <w:shd w:fill="FFFFFF"/>
            <w:tcMar>
              <w:top w:w="40" w:type="dxa"/>
              <w:bottom w:w="40" w:type="dxa"/>
              <w:left w:w="80" w:type="dxa"/>
              <w:right w:w="80" w:type="dxa"/>
            </w:tcMar>
          </w:tcPr>
          <w:p>
            <w:pPr>
              <w:jc w:val="center"/>
            </w:pPr>
            <w:r>
              <w:rPr>
                <w:rFonts w:ascii="Times New Roman" w:hAnsi="Times New Roman"/>
                <w:sz w:val="19"/>
              </w:rPr>
              <w:t>5.3.1</w:t>
            </w:r>
          </w:p>
        </w:tc>
        <w:tc>
          <w:tcPr>
            <w:tcW w:type="dxa" w:w="3000"/>
            <w:shd w:fill="FFFFFF"/>
            <w:tcMar>
              <w:top w:w="40" w:type="dxa"/>
              <w:bottom w:w="40" w:type="dxa"/>
              <w:left w:w="80" w:type="dxa"/>
              <w:right w:w="80" w:type="dxa"/>
            </w:tcMar>
          </w:tcPr>
          <w:p>
            <w:pPr>
              <w:jc w:val="right"/>
            </w:pPr>
            <w:r>
              <w:rPr>
                <w:rFonts w:ascii="Times New Roman" w:hAnsi="Times New Roman"/>
                <w:sz w:val="19"/>
              </w:rPr>
              <w:t>38</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5.3.2 Algorithm 5.2: 48-Hour Multi-Phase Calibration State Machine</w:t>
            </w:r>
          </w:p>
        </w:tc>
        <w:tc>
          <w:tcPr>
            <w:tcW w:type="dxa" w:w="3000"/>
            <w:shd w:fill="F8FAFC"/>
            <w:tcMar>
              <w:top w:w="40" w:type="dxa"/>
              <w:bottom w:w="40" w:type="dxa"/>
              <w:left w:w="80" w:type="dxa"/>
              <w:right w:w="80" w:type="dxa"/>
            </w:tcMar>
          </w:tcPr>
          <w:p>
            <w:pPr>
              <w:jc w:val="center"/>
            </w:pPr>
            <w:r>
              <w:rPr>
                <w:rFonts w:ascii="Times New Roman" w:hAnsi="Times New Roman"/>
                <w:sz w:val="19"/>
              </w:rPr>
              <w:t>5.3.2</w:t>
            </w:r>
          </w:p>
        </w:tc>
        <w:tc>
          <w:tcPr>
            <w:tcW w:type="dxa" w:w="3000"/>
            <w:shd w:fill="F8FAFC"/>
            <w:tcMar>
              <w:top w:w="40" w:type="dxa"/>
              <w:bottom w:w="40" w:type="dxa"/>
              <w:left w:w="80" w:type="dxa"/>
              <w:right w:w="80" w:type="dxa"/>
            </w:tcMar>
          </w:tcPr>
          <w:p>
            <w:pPr>
              <w:jc w:val="right"/>
            </w:pPr>
            <w:r>
              <w:rPr>
                <w:rFonts w:ascii="Times New Roman" w:hAnsi="Times New Roman"/>
                <w:sz w:val="19"/>
              </w:rPr>
              <w:t>39</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5.3.3 Algorithm 5.3: On-Device Micro-SGD Bounded Weight Descent</w:t>
            </w:r>
          </w:p>
        </w:tc>
        <w:tc>
          <w:tcPr>
            <w:tcW w:type="dxa" w:w="3000"/>
            <w:shd w:fill="FFFFFF"/>
            <w:tcMar>
              <w:top w:w="40" w:type="dxa"/>
              <w:bottom w:w="40" w:type="dxa"/>
              <w:left w:w="80" w:type="dxa"/>
              <w:right w:w="80" w:type="dxa"/>
            </w:tcMar>
          </w:tcPr>
          <w:p>
            <w:pPr>
              <w:jc w:val="center"/>
            </w:pPr>
            <w:r>
              <w:rPr>
                <w:rFonts w:ascii="Times New Roman" w:hAnsi="Times New Roman"/>
                <w:sz w:val="19"/>
              </w:rPr>
              <w:t>5.3.3</w:t>
            </w:r>
          </w:p>
        </w:tc>
        <w:tc>
          <w:tcPr>
            <w:tcW w:type="dxa" w:w="3000"/>
            <w:shd w:fill="FFFFFF"/>
            <w:tcMar>
              <w:top w:w="40" w:type="dxa"/>
              <w:bottom w:w="40" w:type="dxa"/>
              <w:left w:w="80" w:type="dxa"/>
              <w:right w:w="80" w:type="dxa"/>
            </w:tcMar>
          </w:tcPr>
          <w:p>
            <w:pPr>
              <w:jc w:val="right"/>
            </w:pPr>
            <w:r>
              <w:rPr>
                <w:rFonts w:ascii="Times New Roman" w:hAnsi="Times New Roman"/>
                <w:sz w:val="19"/>
              </w:rPr>
              <w:t>40</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5.3.4 Algorithm 5.4: Dynamic Health Metric Prescription Synthesis</w:t>
            </w:r>
          </w:p>
        </w:tc>
        <w:tc>
          <w:tcPr>
            <w:tcW w:type="dxa" w:w="3000"/>
            <w:shd w:fill="F8FAFC"/>
            <w:tcMar>
              <w:top w:w="40" w:type="dxa"/>
              <w:bottom w:w="40" w:type="dxa"/>
              <w:left w:w="80" w:type="dxa"/>
              <w:right w:w="80" w:type="dxa"/>
            </w:tcMar>
          </w:tcPr>
          <w:p>
            <w:pPr>
              <w:jc w:val="center"/>
            </w:pPr>
            <w:r>
              <w:rPr>
                <w:rFonts w:ascii="Times New Roman" w:hAnsi="Times New Roman"/>
                <w:sz w:val="19"/>
              </w:rPr>
              <w:t>5.3.4</w:t>
            </w:r>
          </w:p>
        </w:tc>
        <w:tc>
          <w:tcPr>
            <w:tcW w:type="dxa" w:w="3000"/>
            <w:shd w:fill="F8FAFC"/>
            <w:tcMar>
              <w:top w:w="40" w:type="dxa"/>
              <w:bottom w:w="40" w:type="dxa"/>
              <w:left w:w="80" w:type="dxa"/>
              <w:right w:w="80" w:type="dxa"/>
            </w:tcMar>
          </w:tcPr>
          <w:p>
            <w:pPr>
              <w:jc w:val="right"/>
            </w:pPr>
            <w:r>
              <w:rPr>
                <w:rFonts w:ascii="Times New Roman" w:hAnsi="Times New Roman"/>
                <w:sz w:val="19"/>
              </w:rPr>
              <w:t>40</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5.4 Core Implementation Source Code Listings</w:t>
            </w:r>
          </w:p>
        </w:tc>
        <w:tc>
          <w:tcPr>
            <w:tcW w:type="dxa" w:w="3000"/>
            <w:shd w:fill="FFFFFF"/>
            <w:tcMar>
              <w:top w:w="40" w:type="dxa"/>
              <w:bottom w:w="40" w:type="dxa"/>
              <w:left w:w="80" w:type="dxa"/>
              <w:right w:w="80" w:type="dxa"/>
            </w:tcMar>
          </w:tcPr>
          <w:p>
            <w:pPr>
              <w:jc w:val="center"/>
            </w:pPr>
            <w:r>
              <w:rPr>
                <w:rFonts w:ascii="Times New Roman" w:hAnsi="Times New Roman"/>
                <w:sz w:val="19"/>
              </w:rPr>
              <w:t>5.4</w:t>
            </w:r>
          </w:p>
        </w:tc>
        <w:tc>
          <w:tcPr>
            <w:tcW w:type="dxa" w:w="3000"/>
            <w:shd w:fill="FFFFFF"/>
            <w:tcMar>
              <w:top w:w="40" w:type="dxa"/>
              <w:bottom w:w="40" w:type="dxa"/>
              <w:left w:w="80" w:type="dxa"/>
              <w:right w:w="80" w:type="dxa"/>
            </w:tcMar>
          </w:tcPr>
          <w:p>
            <w:pPr>
              <w:jc w:val="right"/>
            </w:pPr>
            <w:r>
              <w:rPr>
                <w:rFonts w:ascii="Times New Roman" w:hAnsi="Times New Roman"/>
                <w:sz w:val="19"/>
              </w:rPr>
              <w:t>41</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Listing 5.1: High-Frequency Biosignal Ingestion &amp; Moving Average Filter</w:t>
            </w:r>
          </w:p>
        </w:tc>
        <w:tc>
          <w:tcPr>
            <w:tcW w:type="dxa" w:w="3000"/>
            <w:shd w:fill="F8FAFC"/>
            <w:tcMar>
              <w:top w:w="40" w:type="dxa"/>
              <w:bottom w:w="40" w:type="dxa"/>
              <w:left w:w="80" w:type="dxa"/>
              <w:right w:w="80" w:type="dxa"/>
            </w:tcMar>
          </w:tcPr>
          <w:p>
            <w:pPr>
              <w:jc w:val="center"/>
            </w:pPr>
            <w:r>
              <w:rPr>
                <w:rFonts w:ascii="Times New Roman" w:hAnsi="Times New Roman"/>
                <w:sz w:val="19"/>
              </w:rPr>
              <w:t>5.4.1</w:t>
            </w:r>
          </w:p>
        </w:tc>
        <w:tc>
          <w:tcPr>
            <w:tcW w:type="dxa" w:w="3000"/>
            <w:shd w:fill="F8FAFC"/>
            <w:tcMar>
              <w:top w:w="40" w:type="dxa"/>
              <w:bottom w:w="40" w:type="dxa"/>
              <w:left w:w="80" w:type="dxa"/>
              <w:right w:w="80" w:type="dxa"/>
            </w:tcMar>
          </w:tcPr>
          <w:p>
            <w:pPr>
              <w:jc w:val="right"/>
            </w:pPr>
            <w:r>
              <w:rPr>
                <w:rFonts w:ascii="Times New Roman" w:hAnsi="Times New Roman"/>
                <w:sz w:val="19"/>
              </w:rPr>
              <w:t>41</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Listing 5.2: Clinical Demographic Baseline Stratification &amp; HRmax Calculator</w:t>
            </w:r>
          </w:p>
        </w:tc>
        <w:tc>
          <w:tcPr>
            <w:tcW w:type="dxa" w:w="3000"/>
            <w:shd w:fill="FFFFFF"/>
            <w:tcMar>
              <w:top w:w="40" w:type="dxa"/>
              <w:bottom w:w="40" w:type="dxa"/>
              <w:left w:w="80" w:type="dxa"/>
              <w:right w:w="80" w:type="dxa"/>
            </w:tcMar>
          </w:tcPr>
          <w:p>
            <w:pPr>
              <w:jc w:val="center"/>
            </w:pPr>
            <w:r>
              <w:rPr>
                <w:rFonts w:ascii="Times New Roman" w:hAnsi="Times New Roman"/>
                <w:sz w:val="19"/>
              </w:rPr>
              <w:t>5.4.2</w:t>
            </w:r>
          </w:p>
        </w:tc>
        <w:tc>
          <w:tcPr>
            <w:tcW w:type="dxa" w:w="3000"/>
            <w:shd w:fill="FFFFFF"/>
            <w:tcMar>
              <w:top w:w="40" w:type="dxa"/>
              <w:bottom w:w="40" w:type="dxa"/>
              <w:left w:w="80" w:type="dxa"/>
              <w:right w:w="80" w:type="dxa"/>
            </w:tcMar>
          </w:tcPr>
          <w:p>
            <w:pPr>
              <w:jc w:val="right"/>
            </w:pPr>
            <w:r>
              <w:rPr>
                <w:rFonts w:ascii="Times New Roman" w:hAnsi="Times New Roman"/>
                <w:sz w:val="19"/>
              </w:rPr>
              <w:t>41</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Listing 5.3: TinyML 2-Layer Perceptron Forward Pass and Micro-SGD Optimizer</w:t>
            </w:r>
          </w:p>
        </w:tc>
        <w:tc>
          <w:tcPr>
            <w:tcW w:type="dxa" w:w="3000"/>
            <w:shd w:fill="F8FAFC"/>
            <w:tcMar>
              <w:top w:w="40" w:type="dxa"/>
              <w:bottom w:w="40" w:type="dxa"/>
              <w:left w:w="80" w:type="dxa"/>
              <w:right w:w="80" w:type="dxa"/>
            </w:tcMar>
          </w:tcPr>
          <w:p>
            <w:pPr>
              <w:jc w:val="center"/>
            </w:pPr>
            <w:r>
              <w:rPr>
                <w:rFonts w:ascii="Times New Roman" w:hAnsi="Times New Roman"/>
                <w:sz w:val="19"/>
              </w:rPr>
              <w:t>5.4.3</w:t>
            </w:r>
          </w:p>
        </w:tc>
        <w:tc>
          <w:tcPr>
            <w:tcW w:type="dxa" w:w="3000"/>
            <w:shd w:fill="F8FAFC"/>
            <w:tcMar>
              <w:top w:w="40" w:type="dxa"/>
              <w:bottom w:w="40" w:type="dxa"/>
              <w:left w:w="80" w:type="dxa"/>
              <w:right w:w="80" w:type="dxa"/>
            </w:tcMar>
          </w:tcPr>
          <w:p>
            <w:pPr>
              <w:jc w:val="right"/>
            </w:pPr>
            <w:r>
              <w:rPr>
                <w:rFonts w:ascii="Times New Roman" w:hAnsi="Times New Roman"/>
                <w:sz w:val="19"/>
              </w:rPr>
              <w:t>42</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Listing 5.4: High-Performance Canvas Circular Arc Visualizer</w:t>
            </w:r>
          </w:p>
        </w:tc>
        <w:tc>
          <w:tcPr>
            <w:tcW w:type="dxa" w:w="3000"/>
            <w:shd w:fill="FFFFFF"/>
            <w:tcMar>
              <w:top w:w="40" w:type="dxa"/>
              <w:bottom w:w="40" w:type="dxa"/>
              <w:left w:w="80" w:type="dxa"/>
              <w:right w:w="80" w:type="dxa"/>
            </w:tcMar>
          </w:tcPr>
          <w:p>
            <w:pPr>
              <w:jc w:val="center"/>
            </w:pPr>
            <w:r>
              <w:rPr>
                <w:rFonts w:ascii="Times New Roman" w:hAnsi="Times New Roman"/>
                <w:sz w:val="19"/>
              </w:rPr>
              <w:t>5.4.4</w:t>
            </w:r>
          </w:p>
        </w:tc>
        <w:tc>
          <w:tcPr>
            <w:tcW w:type="dxa" w:w="3000"/>
            <w:shd w:fill="FFFFFF"/>
            <w:tcMar>
              <w:top w:w="40" w:type="dxa"/>
              <w:bottom w:w="40" w:type="dxa"/>
              <w:left w:w="80" w:type="dxa"/>
              <w:right w:w="80" w:type="dxa"/>
            </w:tcMar>
          </w:tcPr>
          <w:p>
            <w:pPr>
              <w:jc w:val="right"/>
            </w:pPr>
            <w:r>
              <w:rPr>
                <w:rFonts w:ascii="Times New Roman" w:hAnsi="Times New Roman"/>
                <w:sz w:val="19"/>
              </w:rPr>
              <w:t>42</w:t>
            </w:r>
          </w:p>
        </w:tc>
      </w:tr>
      <w:tr>
        <w:tc>
          <w:tcPr>
            <w:tcW w:type="dxa" w:w="3000"/>
            <w:shd w:fill="F8FAFC"/>
            <w:tcMar>
              <w:top w:w="40" w:type="dxa"/>
              <w:bottom w:w="40" w:type="dxa"/>
              <w:left w:w="80" w:type="dxa"/>
              <w:right w:w="80" w:type="dxa"/>
            </w:tcMar>
          </w:tcPr>
          <w:p>
            <w:pPr>
              <w:spacing w:line="276" w:lineRule="auto"/>
            </w:pPr>
            <w:r>
              <w:rPr>
                <w:rFonts w:ascii="Times New Roman" w:hAnsi="Times New Roman"/>
                <w:b/>
                <w:sz w:val="19"/>
              </w:rPr>
              <w:t>CHAPTER 6: RESULTS AND DISCUSSION</w:t>
            </w:r>
          </w:p>
        </w:tc>
        <w:tc>
          <w:tcPr>
            <w:tcW w:type="dxa" w:w="3000"/>
            <w:shd w:fill="F8FAFC"/>
            <w:tcMar>
              <w:top w:w="40" w:type="dxa"/>
              <w:bottom w:w="40" w:type="dxa"/>
              <w:left w:w="80" w:type="dxa"/>
              <w:right w:w="80" w:type="dxa"/>
            </w:tcMar>
          </w:tcPr>
          <w:p>
            <w:pPr>
              <w:jc w:val="center"/>
            </w:pPr>
            <w:r>
              <w:rPr>
                <w:rFonts w:ascii="Times New Roman" w:hAnsi="Times New Roman"/>
                <w:sz w:val="19"/>
              </w:rPr>
            </w:r>
          </w:p>
        </w:tc>
        <w:tc>
          <w:tcPr>
            <w:tcW w:type="dxa" w:w="3000"/>
            <w:shd w:fill="F8FAFC"/>
            <w:tcMar>
              <w:top w:w="40" w:type="dxa"/>
              <w:bottom w:w="40" w:type="dxa"/>
              <w:left w:w="80" w:type="dxa"/>
              <w:right w:w="80" w:type="dxa"/>
            </w:tcMar>
          </w:tcPr>
          <w:p>
            <w:pPr>
              <w:jc w:val="right"/>
            </w:pPr>
            <w:r>
              <w:rPr>
                <w:rFonts w:ascii="Times New Roman" w:hAnsi="Times New Roman"/>
                <w:b/>
                <w:sz w:val="19"/>
              </w:rPr>
              <w:t>43</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6.1 User Interface and Operational Output Screens</w:t>
            </w:r>
          </w:p>
        </w:tc>
        <w:tc>
          <w:tcPr>
            <w:tcW w:type="dxa" w:w="3000"/>
            <w:shd w:fill="FFFFFF"/>
            <w:tcMar>
              <w:top w:w="40" w:type="dxa"/>
              <w:bottom w:w="40" w:type="dxa"/>
              <w:left w:w="80" w:type="dxa"/>
              <w:right w:w="80" w:type="dxa"/>
            </w:tcMar>
          </w:tcPr>
          <w:p>
            <w:pPr>
              <w:jc w:val="center"/>
            </w:pPr>
            <w:r>
              <w:rPr>
                <w:rFonts w:ascii="Times New Roman" w:hAnsi="Times New Roman"/>
                <w:sz w:val="19"/>
              </w:rPr>
              <w:t>6.1</w:t>
            </w:r>
          </w:p>
        </w:tc>
        <w:tc>
          <w:tcPr>
            <w:tcW w:type="dxa" w:w="3000"/>
            <w:shd w:fill="FFFFFF"/>
            <w:tcMar>
              <w:top w:w="40" w:type="dxa"/>
              <w:bottom w:w="40" w:type="dxa"/>
              <w:left w:w="80" w:type="dxa"/>
              <w:right w:w="80" w:type="dxa"/>
            </w:tcMar>
          </w:tcPr>
          <w:p>
            <w:pPr>
              <w:jc w:val="right"/>
            </w:pPr>
            <w:r>
              <w:rPr>
                <w:rFonts w:ascii="Times New Roman" w:hAnsi="Times New Roman"/>
                <w:sz w:val="19"/>
              </w:rPr>
              <w:t>43</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6.1.1 Calibration Phase Display (Day 1 &amp; Day 2)</w:t>
            </w:r>
          </w:p>
        </w:tc>
        <w:tc>
          <w:tcPr>
            <w:tcW w:type="dxa" w:w="3000"/>
            <w:shd w:fill="F8FAFC"/>
            <w:tcMar>
              <w:top w:w="40" w:type="dxa"/>
              <w:bottom w:w="40" w:type="dxa"/>
              <w:left w:w="80" w:type="dxa"/>
              <w:right w:w="80" w:type="dxa"/>
            </w:tcMar>
          </w:tcPr>
          <w:p>
            <w:pPr>
              <w:jc w:val="center"/>
            </w:pPr>
            <w:r>
              <w:rPr>
                <w:rFonts w:ascii="Times New Roman" w:hAnsi="Times New Roman"/>
                <w:sz w:val="19"/>
              </w:rPr>
              <w:t>6.1.1</w:t>
            </w:r>
          </w:p>
        </w:tc>
        <w:tc>
          <w:tcPr>
            <w:tcW w:type="dxa" w:w="3000"/>
            <w:shd w:fill="F8FAFC"/>
            <w:tcMar>
              <w:top w:w="40" w:type="dxa"/>
              <w:bottom w:w="40" w:type="dxa"/>
              <w:left w:w="80" w:type="dxa"/>
              <w:right w:w="80" w:type="dxa"/>
            </w:tcMar>
          </w:tcPr>
          <w:p>
            <w:pPr>
              <w:jc w:val="right"/>
            </w:pPr>
            <w:r>
              <w:rPr>
                <w:rFonts w:ascii="Times New Roman" w:hAnsi="Times New Roman"/>
                <w:sz w:val="19"/>
              </w:rPr>
              <w:t>43</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6.1.2 Fully Calibrated Prescription Display (Day 3+)</w:t>
            </w:r>
          </w:p>
        </w:tc>
        <w:tc>
          <w:tcPr>
            <w:tcW w:type="dxa" w:w="3000"/>
            <w:shd w:fill="FFFFFF"/>
            <w:tcMar>
              <w:top w:w="40" w:type="dxa"/>
              <w:bottom w:w="40" w:type="dxa"/>
              <w:left w:w="80" w:type="dxa"/>
              <w:right w:w="80" w:type="dxa"/>
            </w:tcMar>
          </w:tcPr>
          <w:p>
            <w:pPr>
              <w:jc w:val="center"/>
            </w:pPr>
            <w:r>
              <w:rPr>
                <w:rFonts w:ascii="Times New Roman" w:hAnsi="Times New Roman"/>
                <w:sz w:val="19"/>
              </w:rPr>
              <w:t>6.1.2</w:t>
            </w:r>
          </w:p>
        </w:tc>
        <w:tc>
          <w:tcPr>
            <w:tcW w:type="dxa" w:w="3000"/>
            <w:shd w:fill="FFFFFF"/>
            <w:tcMar>
              <w:top w:w="40" w:type="dxa"/>
              <w:bottom w:w="40" w:type="dxa"/>
              <w:left w:w="80" w:type="dxa"/>
              <w:right w:w="80" w:type="dxa"/>
            </w:tcMar>
          </w:tcPr>
          <w:p>
            <w:pPr>
              <w:jc w:val="right"/>
            </w:pPr>
            <w:r>
              <w:rPr>
                <w:rFonts w:ascii="Times New Roman" w:hAnsi="Times New Roman"/>
                <w:sz w:val="19"/>
              </w:rPr>
              <w:t>44</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6.1.3 Multi-Profile Persona Switching Output</w:t>
            </w:r>
          </w:p>
        </w:tc>
        <w:tc>
          <w:tcPr>
            <w:tcW w:type="dxa" w:w="3000"/>
            <w:shd w:fill="F8FAFC"/>
            <w:tcMar>
              <w:top w:w="40" w:type="dxa"/>
              <w:bottom w:w="40" w:type="dxa"/>
              <w:left w:w="80" w:type="dxa"/>
              <w:right w:w="80" w:type="dxa"/>
            </w:tcMar>
          </w:tcPr>
          <w:p>
            <w:pPr>
              <w:jc w:val="center"/>
            </w:pPr>
            <w:r>
              <w:rPr>
                <w:rFonts w:ascii="Times New Roman" w:hAnsi="Times New Roman"/>
                <w:sz w:val="19"/>
              </w:rPr>
              <w:t>6.1.3</w:t>
            </w:r>
          </w:p>
        </w:tc>
        <w:tc>
          <w:tcPr>
            <w:tcW w:type="dxa" w:w="3000"/>
            <w:shd w:fill="F8FAFC"/>
            <w:tcMar>
              <w:top w:w="40" w:type="dxa"/>
              <w:bottom w:w="40" w:type="dxa"/>
              <w:left w:w="80" w:type="dxa"/>
              <w:right w:w="80" w:type="dxa"/>
            </w:tcMar>
          </w:tcPr>
          <w:p>
            <w:pPr>
              <w:jc w:val="right"/>
            </w:pPr>
            <w:r>
              <w:rPr>
                <w:rFonts w:ascii="Times New Roman" w:hAnsi="Times New Roman"/>
                <w:sz w:val="19"/>
              </w:rPr>
              <w:t>45</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6.2 Experimental Testing and Validation Results</w:t>
            </w:r>
          </w:p>
        </w:tc>
        <w:tc>
          <w:tcPr>
            <w:tcW w:type="dxa" w:w="3000"/>
            <w:shd w:fill="FFFFFF"/>
            <w:tcMar>
              <w:top w:w="40" w:type="dxa"/>
              <w:bottom w:w="40" w:type="dxa"/>
              <w:left w:w="80" w:type="dxa"/>
              <w:right w:w="80" w:type="dxa"/>
            </w:tcMar>
          </w:tcPr>
          <w:p>
            <w:pPr>
              <w:jc w:val="center"/>
            </w:pPr>
            <w:r>
              <w:rPr>
                <w:rFonts w:ascii="Times New Roman" w:hAnsi="Times New Roman"/>
                <w:sz w:val="19"/>
              </w:rPr>
              <w:t>6.2</w:t>
            </w:r>
          </w:p>
        </w:tc>
        <w:tc>
          <w:tcPr>
            <w:tcW w:type="dxa" w:w="3000"/>
            <w:shd w:fill="FFFFFF"/>
            <w:tcMar>
              <w:top w:w="40" w:type="dxa"/>
              <w:bottom w:w="40" w:type="dxa"/>
              <w:left w:w="80" w:type="dxa"/>
              <w:right w:w="80" w:type="dxa"/>
            </w:tcMar>
          </w:tcPr>
          <w:p>
            <w:pPr>
              <w:jc w:val="right"/>
            </w:pPr>
            <w:r>
              <w:rPr>
                <w:rFonts w:ascii="Times New Roman" w:hAnsi="Times New Roman"/>
                <w:sz w:val="19"/>
              </w:rPr>
              <w:t>46</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6.2.1 Test Methodology, Hardware Setup, and Test Matrix</w:t>
            </w:r>
          </w:p>
        </w:tc>
        <w:tc>
          <w:tcPr>
            <w:tcW w:type="dxa" w:w="3000"/>
            <w:shd w:fill="F8FAFC"/>
            <w:tcMar>
              <w:top w:w="40" w:type="dxa"/>
              <w:bottom w:w="40" w:type="dxa"/>
              <w:left w:w="80" w:type="dxa"/>
              <w:right w:w="80" w:type="dxa"/>
            </w:tcMar>
          </w:tcPr>
          <w:p>
            <w:pPr>
              <w:jc w:val="center"/>
            </w:pPr>
            <w:r>
              <w:rPr>
                <w:rFonts w:ascii="Times New Roman" w:hAnsi="Times New Roman"/>
                <w:sz w:val="19"/>
              </w:rPr>
              <w:t>6.2.1</w:t>
            </w:r>
          </w:p>
        </w:tc>
        <w:tc>
          <w:tcPr>
            <w:tcW w:type="dxa" w:w="3000"/>
            <w:shd w:fill="F8FAFC"/>
            <w:tcMar>
              <w:top w:w="40" w:type="dxa"/>
              <w:bottom w:w="40" w:type="dxa"/>
              <w:left w:w="80" w:type="dxa"/>
              <w:right w:w="80" w:type="dxa"/>
            </w:tcMar>
          </w:tcPr>
          <w:p>
            <w:pPr>
              <w:jc w:val="right"/>
            </w:pPr>
            <w:r>
              <w:rPr>
                <w:rFonts w:ascii="Times New Roman" w:hAnsi="Times New Roman"/>
                <w:sz w:val="19"/>
              </w:rPr>
              <w:t>46</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6.2.2 Comprehensive Test Cases (TC01 to TC12) Execution Results</w:t>
            </w:r>
          </w:p>
        </w:tc>
        <w:tc>
          <w:tcPr>
            <w:tcW w:type="dxa" w:w="3000"/>
            <w:shd w:fill="FFFFFF"/>
            <w:tcMar>
              <w:top w:w="40" w:type="dxa"/>
              <w:bottom w:w="40" w:type="dxa"/>
              <w:left w:w="80" w:type="dxa"/>
              <w:right w:w="80" w:type="dxa"/>
            </w:tcMar>
          </w:tcPr>
          <w:p>
            <w:pPr>
              <w:jc w:val="center"/>
            </w:pPr>
            <w:r>
              <w:rPr>
                <w:rFonts w:ascii="Times New Roman" w:hAnsi="Times New Roman"/>
                <w:sz w:val="19"/>
              </w:rPr>
              <w:t>6.2.2</w:t>
            </w:r>
          </w:p>
        </w:tc>
        <w:tc>
          <w:tcPr>
            <w:tcW w:type="dxa" w:w="3000"/>
            <w:shd w:fill="FFFFFF"/>
            <w:tcMar>
              <w:top w:w="40" w:type="dxa"/>
              <w:bottom w:w="40" w:type="dxa"/>
              <w:left w:w="80" w:type="dxa"/>
              <w:right w:w="80" w:type="dxa"/>
            </w:tcMar>
          </w:tcPr>
          <w:p>
            <w:pPr>
              <w:jc w:val="right"/>
            </w:pPr>
            <w:r>
              <w:rPr>
                <w:rFonts w:ascii="Times New Roman" w:hAnsi="Times New Roman"/>
                <w:sz w:val="19"/>
              </w:rPr>
              <w:t>46</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6.2.3 Signal Quality Index &amp; Motion Artifact Rejection Testing</w:t>
            </w:r>
          </w:p>
        </w:tc>
        <w:tc>
          <w:tcPr>
            <w:tcW w:type="dxa" w:w="3000"/>
            <w:shd w:fill="F8FAFC"/>
            <w:tcMar>
              <w:top w:w="40" w:type="dxa"/>
              <w:bottom w:w="40" w:type="dxa"/>
              <w:left w:w="80" w:type="dxa"/>
              <w:right w:w="80" w:type="dxa"/>
            </w:tcMar>
          </w:tcPr>
          <w:p>
            <w:pPr>
              <w:jc w:val="center"/>
            </w:pPr>
            <w:r>
              <w:rPr>
                <w:rFonts w:ascii="Times New Roman" w:hAnsi="Times New Roman"/>
                <w:sz w:val="19"/>
              </w:rPr>
              <w:t>6.2.3</w:t>
            </w:r>
          </w:p>
        </w:tc>
        <w:tc>
          <w:tcPr>
            <w:tcW w:type="dxa" w:w="3000"/>
            <w:shd w:fill="F8FAFC"/>
            <w:tcMar>
              <w:top w:w="40" w:type="dxa"/>
              <w:bottom w:w="40" w:type="dxa"/>
              <w:left w:w="80" w:type="dxa"/>
              <w:right w:w="80" w:type="dxa"/>
            </w:tcMar>
          </w:tcPr>
          <w:p>
            <w:pPr>
              <w:jc w:val="right"/>
            </w:pPr>
            <w:r>
              <w:rPr>
                <w:rFonts w:ascii="Times New Roman" w:hAnsi="Times New Roman"/>
                <w:sz w:val="19"/>
              </w:rPr>
              <w:t>48</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6.3 Performance Analysis and Ablation Study</w:t>
            </w:r>
          </w:p>
        </w:tc>
        <w:tc>
          <w:tcPr>
            <w:tcW w:type="dxa" w:w="3000"/>
            <w:shd w:fill="FFFFFF"/>
            <w:tcMar>
              <w:top w:w="40" w:type="dxa"/>
              <w:bottom w:w="40" w:type="dxa"/>
              <w:left w:w="80" w:type="dxa"/>
              <w:right w:w="80" w:type="dxa"/>
            </w:tcMar>
          </w:tcPr>
          <w:p>
            <w:pPr>
              <w:jc w:val="center"/>
            </w:pPr>
            <w:r>
              <w:rPr>
                <w:rFonts w:ascii="Times New Roman" w:hAnsi="Times New Roman"/>
                <w:sz w:val="19"/>
              </w:rPr>
              <w:t>6.3</w:t>
            </w:r>
          </w:p>
        </w:tc>
        <w:tc>
          <w:tcPr>
            <w:tcW w:type="dxa" w:w="3000"/>
            <w:shd w:fill="FFFFFF"/>
            <w:tcMar>
              <w:top w:w="40" w:type="dxa"/>
              <w:bottom w:w="40" w:type="dxa"/>
              <w:left w:w="80" w:type="dxa"/>
              <w:right w:w="80" w:type="dxa"/>
            </w:tcMar>
          </w:tcPr>
          <w:p>
            <w:pPr>
              <w:jc w:val="right"/>
            </w:pPr>
            <w:r>
              <w:rPr>
                <w:rFonts w:ascii="Times New Roman" w:hAnsi="Times New Roman"/>
                <w:sz w:val="19"/>
              </w:rPr>
              <w:t>49</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6.3.1 Comparative Accuracy: TinyML MLP vs. Linear Regression vs. Static Rules</w:t>
            </w:r>
          </w:p>
        </w:tc>
        <w:tc>
          <w:tcPr>
            <w:tcW w:type="dxa" w:w="3000"/>
            <w:shd w:fill="F8FAFC"/>
            <w:tcMar>
              <w:top w:w="40" w:type="dxa"/>
              <w:bottom w:w="40" w:type="dxa"/>
              <w:left w:w="80" w:type="dxa"/>
              <w:right w:w="80" w:type="dxa"/>
            </w:tcMar>
          </w:tcPr>
          <w:p>
            <w:pPr>
              <w:jc w:val="center"/>
            </w:pPr>
            <w:r>
              <w:rPr>
                <w:rFonts w:ascii="Times New Roman" w:hAnsi="Times New Roman"/>
                <w:sz w:val="19"/>
              </w:rPr>
              <w:t>6.3.1</w:t>
            </w:r>
          </w:p>
        </w:tc>
        <w:tc>
          <w:tcPr>
            <w:tcW w:type="dxa" w:w="3000"/>
            <w:shd w:fill="F8FAFC"/>
            <w:tcMar>
              <w:top w:w="40" w:type="dxa"/>
              <w:bottom w:w="40" w:type="dxa"/>
              <w:left w:w="80" w:type="dxa"/>
              <w:right w:w="80" w:type="dxa"/>
            </w:tcMar>
          </w:tcPr>
          <w:p>
            <w:pPr>
              <w:jc w:val="right"/>
            </w:pPr>
            <w:r>
              <w:rPr>
                <w:rFonts w:ascii="Times New Roman" w:hAnsi="Times New Roman"/>
                <w:sz w:val="19"/>
              </w:rPr>
              <w:t>49</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6.3.2 On-Device Execution Latency and Memory Footprint Profile</w:t>
            </w:r>
          </w:p>
        </w:tc>
        <w:tc>
          <w:tcPr>
            <w:tcW w:type="dxa" w:w="3000"/>
            <w:shd w:fill="FFFFFF"/>
            <w:tcMar>
              <w:top w:w="40" w:type="dxa"/>
              <w:bottom w:w="40" w:type="dxa"/>
              <w:left w:w="80" w:type="dxa"/>
              <w:right w:w="80" w:type="dxa"/>
            </w:tcMar>
          </w:tcPr>
          <w:p>
            <w:pPr>
              <w:jc w:val="center"/>
            </w:pPr>
            <w:r>
              <w:rPr>
                <w:rFonts w:ascii="Times New Roman" w:hAnsi="Times New Roman"/>
                <w:sz w:val="19"/>
              </w:rPr>
              <w:t>6.3.2</w:t>
            </w:r>
          </w:p>
        </w:tc>
        <w:tc>
          <w:tcPr>
            <w:tcW w:type="dxa" w:w="3000"/>
            <w:shd w:fill="FFFFFF"/>
            <w:tcMar>
              <w:top w:w="40" w:type="dxa"/>
              <w:bottom w:w="40" w:type="dxa"/>
              <w:left w:w="80" w:type="dxa"/>
              <w:right w:w="80" w:type="dxa"/>
            </w:tcMar>
          </w:tcPr>
          <w:p>
            <w:pPr>
              <w:jc w:val="right"/>
            </w:pPr>
            <w:r>
              <w:rPr>
                <w:rFonts w:ascii="Times New Roman" w:hAnsi="Times New Roman"/>
                <w:sz w:val="19"/>
              </w:rPr>
              <w:t>50</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6.3.3 Power Consumption &amp; 48-Hour Battery Life Analysis</w:t>
            </w:r>
          </w:p>
        </w:tc>
        <w:tc>
          <w:tcPr>
            <w:tcW w:type="dxa" w:w="3000"/>
            <w:shd w:fill="F8FAFC"/>
            <w:tcMar>
              <w:top w:w="40" w:type="dxa"/>
              <w:bottom w:w="40" w:type="dxa"/>
              <w:left w:w="80" w:type="dxa"/>
              <w:right w:w="80" w:type="dxa"/>
            </w:tcMar>
          </w:tcPr>
          <w:p>
            <w:pPr>
              <w:jc w:val="center"/>
            </w:pPr>
            <w:r>
              <w:rPr>
                <w:rFonts w:ascii="Times New Roman" w:hAnsi="Times New Roman"/>
                <w:sz w:val="19"/>
              </w:rPr>
              <w:t>6.3.3</w:t>
            </w:r>
          </w:p>
        </w:tc>
        <w:tc>
          <w:tcPr>
            <w:tcW w:type="dxa" w:w="3000"/>
            <w:shd w:fill="F8FAFC"/>
            <w:tcMar>
              <w:top w:w="40" w:type="dxa"/>
              <w:bottom w:w="40" w:type="dxa"/>
              <w:left w:w="80" w:type="dxa"/>
              <w:right w:w="80" w:type="dxa"/>
            </w:tcMar>
          </w:tcPr>
          <w:p>
            <w:pPr>
              <w:jc w:val="right"/>
            </w:pPr>
            <w:r>
              <w:rPr>
                <w:rFonts w:ascii="Times New Roman" w:hAnsi="Times New Roman"/>
                <w:sz w:val="19"/>
              </w:rPr>
              <w:t>51</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6.3.4 Detailed Discussion, Clinical Grounding, and Key Insights</w:t>
            </w:r>
          </w:p>
        </w:tc>
        <w:tc>
          <w:tcPr>
            <w:tcW w:type="dxa" w:w="3000"/>
            <w:shd w:fill="FFFFFF"/>
            <w:tcMar>
              <w:top w:w="40" w:type="dxa"/>
              <w:bottom w:w="40" w:type="dxa"/>
              <w:left w:w="80" w:type="dxa"/>
              <w:right w:w="80" w:type="dxa"/>
            </w:tcMar>
          </w:tcPr>
          <w:p>
            <w:pPr>
              <w:jc w:val="center"/>
            </w:pPr>
            <w:r>
              <w:rPr>
                <w:rFonts w:ascii="Times New Roman" w:hAnsi="Times New Roman"/>
                <w:sz w:val="19"/>
              </w:rPr>
              <w:t>6.3.4</w:t>
            </w:r>
          </w:p>
        </w:tc>
        <w:tc>
          <w:tcPr>
            <w:tcW w:type="dxa" w:w="3000"/>
            <w:shd w:fill="FFFFFF"/>
            <w:tcMar>
              <w:top w:w="40" w:type="dxa"/>
              <w:bottom w:w="40" w:type="dxa"/>
              <w:left w:w="80" w:type="dxa"/>
              <w:right w:w="80" w:type="dxa"/>
            </w:tcMar>
          </w:tcPr>
          <w:p>
            <w:pPr>
              <w:jc w:val="right"/>
            </w:pPr>
            <w:r>
              <w:rPr>
                <w:rFonts w:ascii="Times New Roman" w:hAnsi="Times New Roman"/>
                <w:sz w:val="19"/>
              </w:rPr>
              <w:t>52</w:t>
            </w:r>
          </w:p>
        </w:tc>
      </w:tr>
      <w:tr>
        <w:tc>
          <w:tcPr>
            <w:tcW w:type="dxa" w:w="3000"/>
            <w:shd w:fill="F8FAFC"/>
            <w:tcMar>
              <w:top w:w="40" w:type="dxa"/>
              <w:bottom w:w="40" w:type="dxa"/>
              <w:left w:w="80" w:type="dxa"/>
              <w:right w:w="80" w:type="dxa"/>
            </w:tcMar>
          </w:tcPr>
          <w:p>
            <w:pPr>
              <w:spacing w:line="276" w:lineRule="auto"/>
            </w:pPr>
            <w:r>
              <w:rPr>
                <w:rFonts w:ascii="Times New Roman" w:hAnsi="Times New Roman"/>
                <w:b/>
                <w:sz w:val="19"/>
              </w:rPr>
              <w:t>CHAPTER 7: CONCLUSION AND FUTURE SCOPE</w:t>
            </w:r>
          </w:p>
        </w:tc>
        <w:tc>
          <w:tcPr>
            <w:tcW w:type="dxa" w:w="3000"/>
            <w:shd w:fill="F8FAFC"/>
            <w:tcMar>
              <w:top w:w="40" w:type="dxa"/>
              <w:bottom w:w="40" w:type="dxa"/>
              <w:left w:w="80" w:type="dxa"/>
              <w:right w:w="80" w:type="dxa"/>
            </w:tcMar>
          </w:tcPr>
          <w:p>
            <w:pPr>
              <w:jc w:val="center"/>
            </w:pPr>
            <w:r>
              <w:rPr>
                <w:rFonts w:ascii="Times New Roman" w:hAnsi="Times New Roman"/>
                <w:sz w:val="19"/>
              </w:rPr>
            </w:r>
          </w:p>
        </w:tc>
        <w:tc>
          <w:tcPr>
            <w:tcW w:type="dxa" w:w="3000"/>
            <w:shd w:fill="F8FAFC"/>
            <w:tcMar>
              <w:top w:w="40" w:type="dxa"/>
              <w:bottom w:w="40" w:type="dxa"/>
              <w:left w:w="80" w:type="dxa"/>
              <w:right w:w="80" w:type="dxa"/>
            </w:tcMar>
          </w:tcPr>
          <w:p>
            <w:pPr>
              <w:jc w:val="right"/>
            </w:pPr>
            <w:r>
              <w:rPr>
                <w:rFonts w:ascii="Times New Roman" w:hAnsi="Times New Roman"/>
                <w:b/>
                <w:sz w:val="19"/>
              </w:rPr>
              <w:t>54</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7.1 Conclusion</w:t>
            </w:r>
          </w:p>
        </w:tc>
        <w:tc>
          <w:tcPr>
            <w:tcW w:type="dxa" w:w="3000"/>
            <w:shd w:fill="FFFFFF"/>
            <w:tcMar>
              <w:top w:w="40" w:type="dxa"/>
              <w:bottom w:w="40" w:type="dxa"/>
              <w:left w:w="80" w:type="dxa"/>
              <w:right w:w="80" w:type="dxa"/>
            </w:tcMar>
          </w:tcPr>
          <w:p>
            <w:pPr>
              <w:jc w:val="center"/>
            </w:pPr>
            <w:r>
              <w:rPr>
                <w:rFonts w:ascii="Times New Roman" w:hAnsi="Times New Roman"/>
                <w:sz w:val="19"/>
              </w:rPr>
              <w:t>7.1</w:t>
            </w:r>
          </w:p>
        </w:tc>
        <w:tc>
          <w:tcPr>
            <w:tcW w:type="dxa" w:w="3000"/>
            <w:shd w:fill="FFFFFF"/>
            <w:tcMar>
              <w:top w:w="40" w:type="dxa"/>
              <w:bottom w:w="40" w:type="dxa"/>
              <w:left w:w="80" w:type="dxa"/>
              <w:right w:w="80" w:type="dxa"/>
            </w:tcMar>
          </w:tcPr>
          <w:p>
            <w:pPr>
              <w:jc w:val="right"/>
            </w:pPr>
            <w:r>
              <w:rPr>
                <w:rFonts w:ascii="Times New Roman" w:hAnsi="Times New Roman"/>
                <w:sz w:val="19"/>
              </w:rPr>
              <w:t>54</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7.1.1 Summary of Contributions</w:t>
            </w:r>
          </w:p>
        </w:tc>
        <w:tc>
          <w:tcPr>
            <w:tcW w:type="dxa" w:w="3000"/>
            <w:shd w:fill="F8FAFC"/>
            <w:tcMar>
              <w:top w:w="40" w:type="dxa"/>
              <w:bottom w:w="40" w:type="dxa"/>
              <w:left w:w="80" w:type="dxa"/>
              <w:right w:w="80" w:type="dxa"/>
            </w:tcMar>
          </w:tcPr>
          <w:p>
            <w:pPr>
              <w:jc w:val="center"/>
            </w:pPr>
            <w:r>
              <w:rPr>
                <w:rFonts w:ascii="Times New Roman" w:hAnsi="Times New Roman"/>
                <w:sz w:val="19"/>
              </w:rPr>
              <w:t>7.1.1</w:t>
            </w:r>
          </w:p>
        </w:tc>
        <w:tc>
          <w:tcPr>
            <w:tcW w:type="dxa" w:w="3000"/>
            <w:shd w:fill="F8FAFC"/>
            <w:tcMar>
              <w:top w:w="40" w:type="dxa"/>
              <w:bottom w:w="40" w:type="dxa"/>
              <w:left w:w="80" w:type="dxa"/>
              <w:right w:w="80" w:type="dxa"/>
            </w:tcMar>
          </w:tcPr>
          <w:p>
            <w:pPr>
              <w:jc w:val="right"/>
            </w:pPr>
            <w:r>
              <w:rPr>
                <w:rFonts w:ascii="Times New Roman" w:hAnsi="Times New Roman"/>
                <w:sz w:val="19"/>
              </w:rPr>
              <w:t>54</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7.1.2 Impact on Wearable Privacy and Preventive Healthcare</w:t>
            </w:r>
          </w:p>
        </w:tc>
        <w:tc>
          <w:tcPr>
            <w:tcW w:type="dxa" w:w="3000"/>
            <w:shd w:fill="FFFFFF"/>
            <w:tcMar>
              <w:top w:w="40" w:type="dxa"/>
              <w:bottom w:w="40" w:type="dxa"/>
              <w:left w:w="80" w:type="dxa"/>
              <w:right w:w="80" w:type="dxa"/>
            </w:tcMar>
          </w:tcPr>
          <w:p>
            <w:pPr>
              <w:jc w:val="center"/>
            </w:pPr>
            <w:r>
              <w:rPr>
                <w:rFonts w:ascii="Times New Roman" w:hAnsi="Times New Roman"/>
                <w:sz w:val="19"/>
              </w:rPr>
              <w:t>7.1.2</w:t>
            </w:r>
          </w:p>
        </w:tc>
        <w:tc>
          <w:tcPr>
            <w:tcW w:type="dxa" w:w="3000"/>
            <w:shd w:fill="FFFFFF"/>
            <w:tcMar>
              <w:top w:w="40" w:type="dxa"/>
              <w:bottom w:w="40" w:type="dxa"/>
              <w:left w:w="80" w:type="dxa"/>
              <w:right w:w="80" w:type="dxa"/>
            </w:tcMar>
          </w:tcPr>
          <w:p>
            <w:pPr>
              <w:jc w:val="right"/>
            </w:pPr>
            <w:r>
              <w:rPr>
                <w:rFonts w:ascii="Times New Roman" w:hAnsi="Times New Roman"/>
                <w:sz w:val="19"/>
              </w:rPr>
              <w:t>55</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7.2 Future Enhancements and Research Directions</w:t>
            </w:r>
          </w:p>
        </w:tc>
        <w:tc>
          <w:tcPr>
            <w:tcW w:type="dxa" w:w="3000"/>
            <w:shd w:fill="F8FAFC"/>
            <w:tcMar>
              <w:top w:w="40" w:type="dxa"/>
              <w:bottom w:w="40" w:type="dxa"/>
              <w:left w:w="80" w:type="dxa"/>
              <w:right w:w="80" w:type="dxa"/>
            </w:tcMar>
          </w:tcPr>
          <w:p>
            <w:pPr>
              <w:jc w:val="center"/>
            </w:pPr>
            <w:r>
              <w:rPr>
                <w:rFonts w:ascii="Times New Roman" w:hAnsi="Times New Roman"/>
                <w:sz w:val="19"/>
              </w:rPr>
              <w:t>7.2</w:t>
            </w:r>
          </w:p>
        </w:tc>
        <w:tc>
          <w:tcPr>
            <w:tcW w:type="dxa" w:w="3000"/>
            <w:shd w:fill="F8FAFC"/>
            <w:tcMar>
              <w:top w:w="40" w:type="dxa"/>
              <w:bottom w:w="40" w:type="dxa"/>
              <w:left w:w="80" w:type="dxa"/>
              <w:right w:w="80" w:type="dxa"/>
            </w:tcMar>
          </w:tcPr>
          <w:p>
            <w:pPr>
              <w:jc w:val="right"/>
            </w:pPr>
            <w:r>
              <w:rPr>
                <w:rFonts w:ascii="Times New Roman" w:hAnsi="Times New Roman"/>
                <w:sz w:val="19"/>
              </w:rPr>
              <w:t>55</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7.2.1 Multi-Modal Sensor Expansion (SpO2, ECG, Cortisol EDA)</w:t>
            </w:r>
          </w:p>
        </w:tc>
        <w:tc>
          <w:tcPr>
            <w:tcW w:type="dxa" w:w="3000"/>
            <w:shd w:fill="FFFFFF"/>
            <w:tcMar>
              <w:top w:w="40" w:type="dxa"/>
              <w:bottom w:w="40" w:type="dxa"/>
              <w:left w:w="80" w:type="dxa"/>
              <w:right w:w="80" w:type="dxa"/>
            </w:tcMar>
          </w:tcPr>
          <w:p>
            <w:pPr>
              <w:jc w:val="center"/>
            </w:pPr>
            <w:r>
              <w:rPr>
                <w:rFonts w:ascii="Times New Roman" w:hAnsi="Times New Roman"/>
                <w:sz w:val="19"/>
              </w:rPr>
              <w:t>7.2.1</w:t>
            </w:r>
          </w:p>
        </w:tc>
        <w:tc>
          <w:tcPr>
            <w:tcW w:type="dxa" w:w="3000"/>
            <w:shd w:fill="FFFFFF"/>
            <w:tcMar>
              <w:top w:w="40" w:type="dxa"/>
              <w:bottom w:w="40" w:type="dxa"/>
              <w:left w:w="80" w:type="dxa"/>
              <w:right w:w="80" w:type="dxa"/>
            </w:tcMar>
          </w:tcPr>
          <w:p>
            <w:pPr>
              <w:jc w:val="right"/>
            </w:pPr>
            <w:r>
              <w:rPr>
                <w:rFonts w:ascii="Times New Roman" w:hAnsi="Times New Roman"/>
                <w:sz w:val="19"/>
              </w:rPr>
              <w:t>56</w:t>
            </w:r>
          </w:p>
        </w:tc>
      </w:tr>
      <w:tr>
        <w:tc>
          <w:tcPr>
            <w:tcW w:type="dxa" w:w="3000"/>
            <w:shd w:fill="F8FAFC"/>
            <w:tcMar>
              <w:top w:w="40" w:type="dxa"/>
              <w:bottom w:w="40" w:type="dxa"/>
              <w:left w:w="80" w:type="dxa"/>
              <w:right w:w="80" w:type="dxa"/>
            </w:tcMar>
          </w:tcPr>
          <w:p>
            <w:pPr>
              <w:spacing w:line="276" w:lineRule="auto"/>
            </w:pPr>
            <w:r>
              <w:rPr>
                <w:rFonts w:ascii="Times New Roman" w:hAnsi="Times New Roman"/>
                <w:sz w:val="19"/>
              </w:rPr>
              <w:t xml:space="preserve">    7.2.2 Federated Privacy-Preserving Differential Learning</w:t>
            </w:r>
          </w:p>
        </w:tc>
        <w:tc>
          <w:tcPr>
            <w:tcW w:type="dxa" w:w="3000"/>
            <w:shd w:fill="F8FAFC"/>
            <w:tcMar>
              <w:top w:w="40" w:type="dxa"/>
              <w:bottom w:w="40" w:type="dxa"/>
              <w:left w:w="80" w:type="dxa"/>
              <w:right w:w="80" w:type="dxa"/>
            </w:tcMar>
          </w:tcPr>
          <w:p>
            <w:pPr>
              <w:jc w:val="center"/>
            </w:pPr>
            <w:r>
              <w:rPr>
                <w:rFonts w:ascii="Times New Roman" w:hAnsi="Times New Roman"/>
                <w:sz w:val="19"/>
              </w:rPr>
              <w:t>7.2.2</w:t>
            </w:r>
          </w:p>
        </w:tc>
        <w:tc>
          <w:tcPr>
            <w:tcW w:type="dxa" w:w="3000"/>
            <w:shd w:fill="F8FAFC"/>
            <w:tcMar>
              <w:top w:w="40" w:type="dxa"/>
              <w:bottom w:w="40" w:type="dxa"/>
              <w:left w:w="80" w:type="dxa"/>
              <w:right w:w="80" w:type="dxa"/>
            </w:tcMar>
          </w:tcPr>
          <w:p>
            <w:pPr>
              <w:jc w:val="right"/>
            </w:pPr>
            <w:r>
              <w:rPr>
                <w:rFonts w:ascii="Times New Roman" w:hAnsi="Times New Roman"/>
                <w:sz w:val="19"/>
              </w:rPr>
              <w:t>56</w:t>
            </w:r>
          </w:p>
        </w:tc>
      </w:tr>
      <w:tr>
        <w:tc>
          <w:tcPr>
            <w:tcW w:type="dxa" w:w="3000"/>
            <w:shd w:fill="FFFFFF"/>
            <w:tcMar>
              <w:top w:w="40" w:type="dxa"/>
              <w:bottom w:w="40" w:type="dxa"/>
              <w:left w:w="80" w:type="dxa"/>
              <w:right w:w="80" w:type="dxa"/>
            </w:tcMar>
          </w:tcPr>
          <w:p>
            <w:pPr>
              <w:spacing w:line="276" w:lineRule="auto"/>
            </w:pPr>
            <w:r>
              <w:rPr>
                <w:rFonts w:ascii="Times New Roman" w:hAnsi="Times New Roman"/>
                <w:sz w:val="19"/>
              </w:rPr>
              <w:t xml:space="preserve">    7.2.3 Ultra-Quantized Edge Large Language Models for Conversational Health</w:t>
            </w:r>
          </w:p>
        </w:tc>
        <w:tc>
          <w:tcPr>
            <w:tcW w:type="dxa" w:w="3000"/>
            <w:shd w:fill="FFFFFF"/>
            <w:tcMar>
              <w:top w:w="40" w:type="dxa"/>
              <w:bottom w:w="40" w:type="dxa"/>
              <w:left w:w="80" w:type="dxa"/>
              <w:right w:w="80" w:type="dxa"/>
            </w:tcMar>
          </w:tcPr>
          <w:p>
            <w:pPr>
              <w:jc w:val="center"/>
            </w:pPr>
            <w:r>
              <w:rPr>
                <w:rFonts w:ascii="Times New Roman" w:hAnsi="Times New Roman"/>
                <w:sz w:val="19"/>
              </w:rPr>
              <w:t>7.2.3</w:t>
            </w:r>
          </w:p>
        </w:tc>
        <w:tc>
          <w:tcPr>
            <w:tcW w:type="dxa" w:w="3000"/>
            <w:shd w:fill="FFFFFF"/>
            <w:tcMar>
              <w:top w:w="40" w:type="dxa"/>
              <w:bottom w:w="40" w:type="dxa"/>
              <w:left w:w="80" w:type="dxa"/>
              <w:right w:w="80" w:type="dxa"/>
            </w:tcMar>
          </w:tcPr>
          <w:p>
            <w:pPr>
              <w:jc w:val="right"/>
            </w:pPr>
            <w:r>
              <w:rPr>
                <w:rFonts w:ascii="Times New Roman" w:hAnsi="Times New Roman"/>
                <w:sz w:val="19"/>
              </w:rPr>
              <w:t>57</w:t>
            </w:r>
          </w:p>
        </w:tc>
      </w:tr>
      <w:tr>
        <w:tc>
          <w:tcPr>
            <w:tcW w:type="dxa" w:w="3000"/>
            <w:shd w:fill="F8FAFC"/>
            <w:tcMar>
              <w:top w:w="40" w:type="dxa"/>
              <w:bottom w:w="40" w:type="dxa"/>
              <w:left w:w="80" w:type="dxa"/>
              <w:right w:w="80" w:type="dxa"/>
            </w:tcMar>
          </w:tcPr>
          <w:p>
            <w:pPr>
              <w:spacing w:line="276" w:lineRule="auto"/>
            </w:pPr>
            <w:r>
              <w:rPr>
                <w:rFonts w:ascii="Times New Roman" w:hAnsi="Times New Roman"/>
                <w:b/>
                <w:sz w:val="19"/>
              </w:rPr>
              <w:t>REFERENCES</w:t>
            </w:r>
          </w:p>
        </w:tc>
        <w:tc>
          <w:tcPr>
            <w:tcW w:type="dxa" w:w="3000"/>
            <w:shd w:fill="F8FAFC"/>
            <w:tcMar>
              <w:top w:w="40" w:type="dxa"/>
              <w:bottom w:w="40" w:type="dxa"/>
              <w:left w:w="80" w:type="dxa"/>
              <w:right w:w="80" w:type="dxa"/>
            </w:tcMar>
          </w:tcPr>
          <w:p>
            <w:pPr>
              <w:jc w:val="center"/>
            </w:pPr>
            <w:r>
              <w:rPr>
                <w:rFonts w:ascii="Times New Roman" w:hAnsi="Times New Roman"/>
                <w:sz w:val="19"/>
              </w:rPr>
            </w:r>
          </w:p>
        </w:tc>
        <w:tc>
          <w:tcPr>
            <w:tcW w:type="dxa" w:w="3000"/>
            <w:shd w:fill="F8FAFC"/>
            <w:tcMar>
              <w:top w:w="40" w:type="dxa"/>
              <w:bottom w:w="40" w:type="dxa"/>
              <w:left w:w="80" w:type="dxa"/>
              <w:right w:w="80" w:type="dxa"/>
            </w:tcMar>
          </w:tcPr>
          <w:p>
            <w:pPr>
              <w:jc w:val="right"/>
            </w:pPr>
            <w:r>
              <w:rPr>
                <w:rFonts w:ascii="Times New Roman" w:hAnsi="Times New Roman"/>
                <w:sz w:val="19"/>
              </w:rPr>
              <w:t>58</w:t>
            </w:r>
          </w:p>
        </w:tc>
      </w:tr>
      <w:tr>
        <w:tc>
          <w:tcPr>
            <w:tcW w:type="dxa" w:w="3000"/>
            <w:shd w:fill="FFFFFF"/>
            <w:tcMar>
              <w:top w:w="40" w:type="dxa"/>
              <w:bottom w:w="40" w:type="dxa"/>
              <w:left w:w="80" w:type="dxa"/>
              <w:right w:w="80" w:type="dxa"/>
            </w:tcMar>
          </w:tcPr>
          <w:p>
            <w:pPr>
              <w:spacing w:line="276" w:lineRule="auto"/>
            </w:pPr>
            <w:r>
              <w:rPr>
                <w:rFonts w:ascii="Times New Roman" w:hAnsi="Times New Roman"/>
                <w:b/>
                <w:sz w:val="19"/>
              </w:rPr>
              <w:t>PUBLICATIONS / CONFERENCES</w:t>
            </w:r>
          </w:p>
        </w:tc>
        <w:tc>
          <w:tcPr>
            <w:tcW w:type="dxa" w:w="3000"/>
            <w:shd w:fill="FFFFFF"/>
            <w:tcMar>
              <w:top w:w="40" w:type="dxa"/>
              <w:bottom w:w="40" w:type="dxa"/>
              <w:left w:w="80" w:type="dxa"/>
              <w:right w:w="80" w:type="dxa"/>
            </w:tcMar>
          </w:tcPr>
          <w:p>
            <w:pPr>
              <w:jc w:val="center"/>
            </w:pPr>
            <w:r>
              <w:rPr>
                <w:rFonts w:ascii="Times New Roman" w:hAnsi="Times New Roman"/>
                <w:sz w:val="19"/>
              </w:rPr>
            </w:r>
          </w:p>
        </w:tc>
        <w:tc>
          <w:tcPr>
            <w:tcW w:type="dxa" w:w="3000"/>
            <w:shd w:fill="FFFFFF"/>
            <w:tcMar>
              <w:top w:w="40" w:type="dxa"/>
              <w:bottom w:w="40" w:type="dxa"/>
              <w:left w:w="80" w:type="dxa"/>
              <w:right w:w="80" w:type="dxa"/>
            </w:tcMar>
          </w:tcPr>
          <w:p>
            <w:pPr>
              <w:jc w:val="right"/>
            </w:pPr>
            <w:r>
              <w:rPr>
                <w:rFonts w:ascii="Times New Roman" w:hAnsi="Times New Roman"/>
                <w:sz w:val="19"/>
              </w:rPr>
              <w:t>61</w:t>
            </w:r>
          </w:p>
        </w:tc>
      </w:tr>
    </w:tbl>
    <w:p>
      <w:r>
        <w:br w:type="page"/>
      </w:r>
    </w:p>
    <w:p>
      <w:pPr>
        <w:spacing w:before="320" w:after="280" w:line="360" w:lineRule="auto"/>
        <w:jc w:val="center"/>
      </w:pPr>
      <w:r>
        <w:rPr>
          <w:rFonts w:ascii="Times New Roman" w:hAnsi="Times New Roman"/>
          <w:b/>
          <w:i w:val="0"/>
          <w:color w:val="1E3A8A"/>
          <w:sz w:val="32"/>
        </w:rPr>
        <w:t>ABSTRACT</w:t>
      </w:r>
    </w:p>
    <w:p>
      <w:pPr>
        <w:spacing w:before="280" w:after="280" w:line="360" w:lineRule="auto"/>
        <w:jc w:val="both"/>
      </w:pPr>
      <w:r>
        <w:rPr>
          <w:rFonts w:ascii="Times New Roman" w:hAnsi="Times New Roman"/>
          <w:b w:val="0"/>
          <w:i w:val="0"/>
          <w:sz w:val="24"/>
        </w:rPr>
        <w:t>Modern wearable health intelligence predominantly relies on continuous cloud transmission of raw photoplethysmography (PPG) and inertial telemetry, introducing profound privacy vulnerabilities, non-ephemeral data exposure, and high energy overheads. Concurrently, commercial wearables enforce static normative population thresholds that disregard individual circadian rhythms, athletic conditioning, and accumulated recovery deficits. This project introduces InstaHealth, a strictly zero-cloud, privacy-preserving on-device smartwatch health intelligence system featuring adaptive multi-profile physiological modeling. InstaHealth executes entirely within the resource constraints of wearable microcontrollers without network permissions. The architecture integrates a real-time Signal Quality Index (SQI) motion-artifact filter, a 48-hour autonomous calibration state machine transitioning from clinically grounded Tanaka and Gulati demographic priors to personalized baselines, and an on-device TinyML Multi-Layer Perceptron utilizing micro-batch Stochastic Gradient Descent with bounded gradient clipping (|ΔW| ≤ 0.05). Sandboxed multi-profile isolation enables concurrent, zero-leakage tracking across disparate athletic personas. Deployed and evaluated on embedded smartwatch runtimes, InstaHealth achieves a 62.4% reduction in target prediction Mean Absolute Error over static population baselines, executes forward inference in 1.18 ms with 18.2 KB RAM utilization, and sustains 52.8 hours continuous operation on a standard 65 mAh battery cell, demonstrating sovereign, clinically rigorous personal health intelligence.</w:t>
      </w:r>
    </w:p>
    <w:p>
      <w:pPr>
        <w:spacing w:before="160" w:after="240" w:line="360" w:lineRule="auto"/>
        <w:jc w:val="both"/>
      </w:pPr>
      <w:r>
        <w:rPr>
          <w:rFonts w:ascii="Times New Roman" w:hAnsi="Times New Roman"/>
          <w:b/>
          <w:i/>
          <w:sz w:val="22"/>
        </w:rPr>
        <w:t>Keywords: Edge Computing, On-Device TinyML, Zero-Cloud Privacy, Adaptive Physiological Modeling, Smartwatch Health Intelligence</w:t>
      </w:r>
    </w:p>
    <w:p>
      <w:pPr>
        <w:spacing w:before="480" w:after="0" w:line="360" w:lineRule="auto"/>
        <w:jc w:val="center"/>
      </w:pPr>
      <w:r>
        <w:rPr>
          <w:rFonts w:ascii="Times New Roman" w:hAnsi="Times New Roman"/>
          <w:b w:val="0"/>
          <w:i/>
          <w:sz w:val="20"/>
        </w:rPr>
        <w:t>Page I</w:t>
      </w:r>
    </w:p>
    <w:p>
      <w:r>
        <w:br w:type="page"/>
      </w:r>
    </w:p>
    <w:p>
      <w:pPr>
        <w:spacing w:before="320" w:after="280" w:line="360" w:lineRule="auto"/>
        <w:jc w:val="center"/>
      </w:pPr>
      <w:r>
        <w:rPr>
          <w:rFonts w:ascii="Times New Roman" w:hAnsi="Times New Roman"/>
          <w:b/>
          <w:i w:val="0"/>
          <w:color w:val="1E3A8A"/>
          <w:sz w:val="32"/>
        </w:rPr>
        <w:t>LIST OF FIGURES</w:t>
      </w:r>
    </w:p>
    <w:tbl>
      <w:tblPr>
        <w:tblW w:type="auto" w:w="0"/>
        <w:jc w:val="center"/>
        <w:tblLook w:firstColumn="1" w:firstRow="1" w:lastColumn="0" w:lastRow="0" w:noHBand="0" w:noVBand="1" w:val="04A0"/>
        <w:tblBorders>
          <w:top w:val="single" w:sz="2" w:space="0" w:color="CBD5E1"/>
          <w:bottom w:val="single" w:sz="2" w:space="0" w:color="CBD5E1"/>
          <w:insideH w:val="single" w:sz="2" w:space="0" w:color="CBD5E1"/>
          <w:left w:val="none"/>
          <w:right w:val="none"/>
          <w:insideV w:val="none"/>
        </w:tblBorders>
      </w:tblPr>
      <w:tblGrid>
        <w:gridCol w:w="3000"/>
        <w:gridCol w:w="3000"/>
        <w:gridCol w:w="3000"/>
      </w:tblGrid>
      <w:tr>
        <w:tc>
          <w:tcPr>
            <w:tcW w:type="dxa" w:w="3000"/>
            <w:shd w:fill="1E3A8A"/>
          </w:tcPr>
          <w:p>
            <w:r>
              <w:rPr>
                <w:rFonts w:ascii="Times New Roman" w:hAnsi="Times New Roman"/>
                <w:b/>
                <w:color w:val="FFFFFF"/>
                <w:sz w:val="20"/>
              </w:rPr>
              <w:t>Figure No.</w:t>
            </w:r>
          </w:p>
        </w:tc>
        <w:tc>
          <w:tcPr>
            <w:tcW w:type="dxa" w:w="3000"/>
            <w:shd w:fill="1E3A8A"/>
          </w:tcPr>
          <w:p>
            <w:r>
              <w:rPr>
                <w:rFonts w:ascii="Times New Roman" w:hAnsi="Times New Roman"/>
                <w:b/>
                <w:color w:val="FFFFFF"/>
                <w:sz w:val="20"/>
              </w:rPr>
              <w:t>Figure Caption / Description</w:t>
            </w:r>
          </w:p>
        </w:tc>
        <w:tc>
          <w:tcPr>
            <w:tcW w:type="dxa" w:w="3000"/>
            <w:shd w:fill="1E3A8A"/>
          </w:tcPr>
          <w:p>
            <w:r>
              <w:rPr>
                <w:rFonts w:ascii="Times New Roman" w:hAnsi="Times New Roman"/>
                <w:b/>
                <w:color w:val="FFFFFF"/>
                <w:sz w:val="20"/>
              </w:rPr>
              <w:t>Page No.</w:t>
            </w:r>
          </w:p>
        </w:tc>
      </w:tr>
      <w:tr>
        <w:tc>
          <w:tcPr>
            <w:tcW w:type="dxa" w:w="3000"/>
            <w:shd w:fill="FFFFFF"/>
            <w:tcMar>
              <w:top w:w="50" w:type="dxa"/>
              <w:bottom w:w="50" w:type="dxa"/>
              <w:left w:w="80" w:type="dxa"/>
              <w:right w:w="80" w:type="dxa"/>
            </w:tcMar>
          </w:tcPr>
          <w:p>
            <w:pPr>
              <w:jc w:val="center"/>
            </w:pPr>
            <w:r>
              <w:rPr>
                <w:rFonts w:ascii="Times New Roman" w:hAnsi="Times New Roman"/>
                <w:b/>
                <w:sz w:val="19"/>
              </w:rPr>
              <w:t>Figure 3.1</w:t>
            </w:r>
          </w:p>
        </w:tc>
        <w:tc>
          <w:tcPr>
            <w:tcW w:type="dxa" w:w="3000"/>
            <w:shd w:fill="FFFFFF"/>
            <w:tcMar>
              <w:top w:w="50" w:type="dxa"/>
              <w:bottom w:w="50" w:type="dxa"/>
              <w:left w:w="80" w:type="dxa"/>
              <w:right w:w="80" w:type="dxa"/>
            </w:tcMar>
          </w:tcPr>
          <w:p>
            <w:r>
              <w:rPr>
                <w:rFonts w:ascii="Times New Roman" w:hAnsi="Times New Roman"/>
                <w:sz w:val="19"/>
              </w:rPr>
              <w:t>InstaHealth 12-Week Comprehensive Project Engineering Gantt Schedule</w:t>
            </w:r>
          </w:p>
        </w:tc>
        <w:tc>
          <w:tcPr>
            <w:tcW w:type="dxa" w:w="3000"/>
            <w:shd w:fill="FFFFFF"/>
            <w:tcMar>
              <w:top w:w="50" w:type="dxa"/>
              <w:bottom w:w="50" w:type="dxa"/>
              <w:left w:w="80" w:type="dxa"/>
              <w:right w:w="80" w:type="dxa"/>
            </w:tcMar>
          </w:tcPr>
          <w:p>
            <w:pPr>
              <w:jc w:val="right"/>
            </w:pPr>
            <w:r>
              <w:rPr>
                <w:rFonts w:ascii="Times New Roman" w:hAnsi="Times New Roman"/>
                <w:sz w:val="19"/>
              </w:rPr>
              <w:t>18</w:t>
            </w:r>
          </w:p>
        </w:tc>
      </w:tr>
      <w:tr>
        <w:tc>
          <w:tcPr>
            <w:tcW w:type="dxa" w:w="3000"/>
            <w:shd w:fill="F8FAFC"/>
            <w:tcMar>
              <w:top w:w="50" w:type="dxa"/>
              <w:bottom w:w="50" w:type="dxa"/>
              <w:left w:w="80" w:type="dxa"/>
              <w:right w:w="80" w:type="dxa"/>
            </w:tcMar>
          </w:tcPr>
          <w:p>
            <w:pPr>
              <w:jc w:val="center"/>
            </w:pPr>
            <w:r>
              <w:rPr>
                <w:rFonts w:ascii="Times New Roman" w:hAnsi="Times New Roman"/>
                <w:b/>
                <w:sz w:val="19"/>
              </w:rPr>
              <w:t>Figure 4.1</w:t>
            </w:r>
          </w:p>
        </w:tc>
        <w:tc>
          <w:tcPr>
            <w:tcW w:type="dxa" w:w="3000"/>
            <w:shd w:fill="F8FAFC"/>
            <w:tcMar>
              <w:top w:w="50" w:type="dxa"/>
              <w:bottom w:w="50" w:type="dxa"/>
              <w:left w:w="80" w:type="dxa"/>
              <w:right w:w="80" w:type="dxa"/>
            </w:tcMar>
          </w:tcPr>
          <w:p>
            <w:r>
              <w:rPr>
                <w:rFonts w:ascii="Times New Roman" w:hAnsi="Times New Roman"/>
                <w:sz w:val="19"/>
              </w:rPr>
              <w:t>InstaHealth Multi-Layered Zero-Cloud On-Device Smartwatch Architecture</w:t>
            </w:r>
          </w:p>
        </w:tc>
        <w:tc>
          <w:tcPr>
            <w:tcW w:type="dxa" w:w="3000"/>
            <w:shd w:fill="F8FAFC"/>
            <w:tcMar>
              <w:top w:w="50" w:type="dxa"/>
              <w:bottom w:w="50" w:type="dxa"/>
              <w:left w:w="80" w:type="dxa"/>
              <w:right w:w="80" w:type="dxa"/>
            </w:tcMar>
          </w:tcPr>
          <w:p>
            <w:pPr>
              <w:jc w:val="right"/>
            </w:pPr>
            <w:r>
              <w:rPr>
                <w:rFonts w:ascii="Times New Roman" w:hAnsi="Times New Roman"/>
                <w:sz w:val="19"/>
              </w:rPr>
              <w:t>23</w:t>
            </w:r>
          </w:p>
        </w:tc>
      </w:tr>
      <w:tr>
        <w:tc>
          <w:tcPr>
            <w:tcW w:type="dxa" w:w="3000"/>
            <w:shd w:fill="FFFFFF"/>
            <w:tcMar>
              <w:top w:w="50" w:type="dxa"/>
              <w:bottom w:w="50" w:type="dxa"/>
              <w:left w:w="80" w:type="dxa"/>
              <w:right w:w="80" w:type="dxa"/>
            </w:tcMar>
          </w:tcPr>
          <w:p>
            <w:pPr>
              <w:jc w:val="center"/>
            </w:pPr>
            <w:r>
              <w:rPr>
                <w:rFonts w:ascii="Times New Roman" w:hAnsi="Times New Roman"/>
                <w:b/>
                <w:sz w:val="19"/>
              </w:rPr>
              <w:t>Figure 4.2</w:t>
            </w:r>
          </w:p>
        </w:tc>
        <w:tc>
          <w:tcPr>
            <w:tcW w:type="dxa" w:w="3000"/>
            <w:shd w:fill="FFFFFF"/>
            <w:tcMar>
              <w:top w:w="50" w:type="dxa"/>
              <w:bottom w:w="50" w:type="dxa"/>
              <w:left w:w="80" w:type="dxa"/>
              <w:right w:w="80" w:type="dxa"/>
            </w:tcMar>
          </w:tcPr>
          <w:p>
            <w:r>
              <w:rPr>
                <w:rFonts w:ascii="Times New Roman" w:hAnsi="Times New Roman"/>
                <w:sz w:val="19"/>
              </w:rPr>
              <w:t>Data Flow Diagram (DFD) Level 0: Context Level System Representation</w:t>
            </w:r>
          </w:p>
        </w:tc>
        <w:tc>
          <w:tcPr>
            <w:tcW w:type="dxa" w:w="3000"/>
            <w:shd w:fill="FFFFFF"/>
            <w:tcMar>
              <w:top w:w="50" w:type="dxa"/>
              <w:bottom w:w="50" w:type="dxa"/>
              <w:left w:w="80" w:type="dxa"/>
              <w:right w:w="80" w:type="dxa"/>
            </w:tcMar>
          </w:tcPr>
          <w:p>
            <w:pPr>
              <w:jc w:val="right"/>
            </w:pPr>
            <w:r>
              <w:rPr>
                <w:rFonts w:ascii="Times New Roman" w:hAnsi="Times New Roman"/>
                <w:sz w:val="19"/>
              </w:rPr>
              <w:t>26</w:t>
            </w:r>
          </w:p>
        </w:tc>
      </w:tr>
      <w:tr>
        <w:tc>
          <w:tcPr>
            <w:tcW w:type="dxa" w:w="3000"/>
            <w:shd w:fill="F8FAFC"/>
            <w:tcMar>
              <w:top w:w="50" w:type="dxa"/>
              <w:bottom w:w="50" w:type="dxa"/>
              <w:left w:w="80" w:type="dxa"/>
              <w:right w:w="80" w:type="dxa"/>
            </w:tcMar>
          </w:tcPr>
          <w:p>
            <w:pPr>
              <w:jc w:val="center"/>
            </w:pPr>
            <w:r>
              <w:rPr>
                <w:rFonts w:ascii="Times New Roman" w:hAnsi="Times New Roman"/>
                <w:b/>
                <w:sz w:val="19"/>
              </w:rPr>
              <w:t>Figure 4.3</w:t>
            </w:r>
          </w:p>
        </w:tc>
        <w:tc>
          <w:tcPr>
            <w:tcW w:type="dxa" w:w="3000"/>
            <w:shd w:fill="F8FAFC"/>
            <w:tcMar>
              <w:top w:w="50" w:type="dxa"/>
              <w:bottom w:w="50" w:type="dxa"/>
              <w:left w:w="80" w:type="dxa"/>
              <w:right w:w="80" w:type="dxa"/>
            </w:tcMar>
          </w:tcPr>
          <w:p>
            <w:r>
              <w:rPr>
                <w:rFonts w:ascii="Times New Roman" w:hAnsi="Times New Roman"/>
                <w:sz w:val="19"/>
              </w:rPr>
              <w:t>Data Flow Diagram (DFD) Level 1: Subsystem Level Functional Decomposition</w:t>
            </w:r>
          </w:p>
        </w:tc>
        <w:tc>
          <w:tcPr>
            <w:tcW w:type="dxa" w:w="3000"/>
            <w:shd w:fill="F8FAFC"/>
            <w:tcMar>
              <w:top w:w="50" w:type="dxa"/>
              <w:bottom w:w="50" w:type="dxa"/>
              <w:left w:w="80" w:type="dxa"/>
              <w:right w:w="80" w:type="dxa"/>
            </w:tcMar>
          </w:tcPr>
          <w:p>
            <w:pPr>
              <w:jc w:val="right"/>
            </w:pPr>
            <w:r>
              <w:rPr>
                <w:rFonts w:ascii="Times New Roman" w:hAnsi="Times New Roman"/>
                <w:sz w:val="19"/>
              </w:rPr>
              <w:t>27</w:t>
            </w:r>
          </w:p>
        </w:tc>
      </w:tr>
      <w:tr>
        <w:tc>
          <w:tcPr>
            <w:tcW w:type="dxa" w:w="3000"/>
            <w:shd w:fill="FFFFFF"/>
            <w:tcMar>
              <w:top w:w="50" w:type="dxa"/>
              <w:bottom w:w="50" w:type="dxa"/>
              <w:left w:w="80" w:type="dxa"/>
              <w:right w:w="80" w:type="dxa"/>
            </w:tcMar>
          </w:tcPr>
          <w:p>
            <w:pPr>
              <w:jc w:val="center"/>
            </w:pPr>
            <w:r>
              <w:rPr>
                <w:rFonts w:ascii="Times New Roman" w:hAnsi="Times New Roman"/>
                <w:b/>
                <w:sz w:val="19"/>
              </w:rPr>
              <w:t>Figure 4.4</w:t>
            </w:r>
          </w:p>
        </w:tc>
        <w:tc>
          <w:tcPr>
            <w:tcW w:type="dxa" w:w="3000"/>
            <w:shd w:fill="FFFFFF"/>
            <w:tcMar>
              <w:top w:w="50" w:type="dxa"/>
              <w:bottom w:w="50" w:type="dxa"/>
              <w:left w:w="80" w:type="dxa"/>
              <w:right w:w="80" w:type="dxa"/>
            </w:tcMar>
          </w:tcPr>
          <w:p>
            <w:r>
              <w:rPr>
                <w:rFonts w:ascii="Times New Roman" w:hAnsi="Times New Roman"/>
                <w:sz w:val="19"/>
              </w:rPr>
              <w:t>Data Flow Diagram (DFD) Level 2: Detailed Process Flow for TinyML Micro-SGD Engine</w:t>
            </w:r>
          </w:p>
        </w:tc>
        <w:tc>
          <w:tcPr>
            <w:tcW w:type="dxa" w:w="3000"/>
            <w:shd w:fill="FFFFFF"/>
            <w:tcMar>
              <w:top w:w="50" w:type="dxa"/>
              <w:bottom w:w="50" w:type="dxa"/>
              <w:left w:w="80" w:type="dxa"/>
              <w:right w:w="80" w:type="dxa"/>
            </w:tcMar>
          </w:tcPr>
          <w:p>
            <w:pPr>
              <w:jc w:val="right"/>
            </w:pPr>
            <w:r>
              <w:rPr>
                <w:rFonts w:ascii="Times New Roman" w:hAnsi="Times New Roman"/>
                <w:sz w:val="19"/>
              </w:rPr>
              <w:t>28</w:t>
            </w:r>
          </w:p>
        </w:tc>
      </w:tr>
      <w:tr>
        <w:tc>
          <w:tcPr>
            <w:tcW w:type="dxa" w:w="3000"/>
            <w:shd w:fill="F8FAFC"/>
            <w:tcMar>
              <w:top w:w="50" w:type="dxa"/>
              <w:bottom w:w="50" w:type="dxa"/>
              <w:left w:w="80" w:type="dxa"/>
              <w:right w:w="80" w:type="dxa"/>
            </w:tcMar>
          </w:tcPr>
          <w:p>
            <w:pPr>
              <w:jc w:val="center"/>
            </w:pPr>
            <w:r>
              <w:rPr>
                <w:rFonts w:ascii="Times New Roman" w:hAnsi="Times New Roman"/>
                <w:b/>
                <w:sz w:val="19"/>
              </w:rPr>
              <w:t>Figure 5.1</w:t>
            </w:r>
          </w:p>
        </w:tc>
        <w:tc>
          <w:tcPr>
            <w:tcW w:type="dxa" w:w="3000"/>
            <w:shd w:fill="F8FAFC"/>
            <w:tcMar>
              <w:top w:w="50" w:type="dxa"/>
              <w:bottom w:w="50" w:type="dxa"/>
              <w:left w:w="80" w:type="dxa"/>
              <w:right w:w="80" w:type="dxa"/>
            </w:tcMar>
          </w:tcPr>
          <w:p>
            <w:r>
              <w:rPr>
                <w:rFonts w:ascii="Times New Roman" w:hAnsi="Times New Roman"/>
                <w:sz w:val="19"/>
              </w:rPr>
              <w:t>InstaHealth 48-Hour On-Device Calibration and Lifecycle State Machine Workflow</w:t>
            </w:r>
          </w:p>
        </w:tc>
        <w:tc>
          <w:tcPr>
            <w:tcW w:type="dxa" w:w="3000"/>
            <w:shd w:fill="F8FAFC"/>
            <w:tcMar>
              <w:top w:w="50" w:type="dxa"/>
              <w:bottom w:w="50" w:type="dxa"/>
              <w:left w:w="80" w:type="dxa"/>
              <w:right w:w="80" w:type="dxa"/>
            </w:tcMar>
          </w:tcPr>
          <w:p>
            <w:pPr>
              <w:jc w:val="right"/>
            </w:pPr>
            <w:r>
              <w:rPr>
                <w:rFonts w:ascii="Times New Roman" w:hAnsi="Times New Roman"/>
                <w:sz w:val="19"/>
              </w:rPr>
              <w:t>36</w:t>
            </w:r>
          </w:p>
        </w:tc>
      </w:tr>
      <w:tr>
        <w:tc>
          <w:tcPr>
            <w:tcW w:type="dxa" w:w="3000"/>
            <w:shd w:fill="FFFFFF"/>
            <w:tcMar>
              <w:top w:w="50" w:type="dxa"/>
              <w:bottom w:w="50" w:type="dxa"/>
              <w:left w:w="80" w:type="dxa"/>
              <w:right w:w="80" w:type="dxa"/>
            </w:tcMar>
          </w:tcPr>
          <w:p>
            <w:pPr>
              <w:jc w:val="center"/>
            </w:pPr>
            <w:r>
              <w:rPr>
                <w:rFonts w:ascii="Times New Roman" w:hAnsi="Times New Roman"/>
                <w:b/>
                <w:sz w:val="19"/>
              </w:rPr>
              <w:t>Figure 6.1</w:t>
            </w:r>
          </w:p>
        </w:tc>
        <w:tc>
          <w:tcPr>
            <w:tcW w:type="dxa" w:w="3000"/>
            <w:shd w:fill="FFFFFF"/>
            <w:tcMar>
              <w:top w:w="50" w:type="dxa"/>
              <w:bottom w:w="50" w:type="dxa"/>
              <w:left w:w="80" w:type="dxa"/>
              <w:right w:w="80" w:type="dxa"/>
            </w:tcMar>
          </w:tcPr>
          <w:p>
            <w:r>
              <w:rPr>
                <w:rFonts w:ascii="Times New Roman" w:hAnsi="Times New Roman"/>
                <w:sz w:val="19"/>
              </w:rPr>
              <w:t>InstaHealth Day 1 &amp; Day 2 Calibration UI: Real-Time Telemetry vs Demographic Benchmarks</w:t>
            </w:r>
          </w:p>
        </w:tc>
        <w:tc>
          <w:tcPr>
            <w:tcW w:type="dxa" w:w="3000"/>
            <w:shd w:fill="FFFFFF"/>
            <w:tcMar>
              <w:top w:w="50" w:type="dxa"/>
              <w:bottom w:w="50" w:type="dxa"/>
              <w:left w:w="80" w:type="dxa"/>
              <w:right w:w="80" w:type="dxa"/>
            </w:tcMar>
          </w:tcPr>
          <w:p>
            <w:pPr>
              <w:jc w:val="right"/>
            </w:pPr>
            <w:r>
              <w:rPr>
                <w:rFonts w:ascii="Times New Roman" w:hAnsi="Times New Roman"/>
                <w:sz w:val="19"/>
              </w:rPr>
              <w:t>43</w:t>
            </w:r>
          </w:p>
        </w:tc>
      </w:tr>
      <w:tr>
        <w:tc>
          <w:tcPr>
            <w:tcW w:type="dxa" w:w="3000"/>
            <w:shd w:fill="F8FAFC"/>
            <w:tcMar>
              <w:top w:w="50" w:type="dxa"/>
              <w:bottom w:w="50" w:type="dxa"/>
              <w:left w:w="80" w:type="dxa"/>
              <w:right w:w="80" w:type="dxa"/>
            </w:tcMar>
          </w:tcPr>
          <w:p>
            <w:pPr>
              <w:jc w:val="center"/>
            </w:pPr>
            <w:r>
              <w:rPr>
                <w:rFonts w:ascii="Times New Roman" w:hAnsi="Times New Roman"/>
                <w:b/>
                <w:sz w:val="19"/>
              </w:rPr>
              <w:t>Figure 6.2</w:t>
            </w:r>
          </w:p>
        </w:tc>
        <w:tc>
          <w:tcPr>
            <w:tcW w:type="dxa" w:w="3000"/>
            <w:shd w:fill="F8FAFC"/>
            <w:tcMar>
              <w:top w:w="50" w:type="dxa"/>
              <w:bottom w:w="50" w:type="dxa"/>
              <w:left w:w="80" w:type="dxa"/>
              <w:right w:w="80" w:type="dxa"/>
            </w:tcMar>
          </w:tcPr>
          <w:p>
            <w:r>
              <w:rPr>
                <w:rFonts w:ascii="Times New Roman" w:hAnsi="Times New Roman"/>
                <w:sz w:val="19"/>
              </w:rPr>
              <w:t>InstaHealth Day 3+ Calibrated Prescription UI: Multi-Metric Circular Ring Carousel</w:t>
            </w:r>
          </w:p>
        </w:tc>
        <w:tc>
          <w:tcPr>
            <w:tcW w:type="dxa" w:w="3000"/>
            <w:shd w:fill="F8FAFC"/>
            <w:tcMar>
              <w:top w:w="50" w:type="dxa"/>
              <w:bottom w:w="50" w:type="dxa"/>
              <w:left w:w="80" w:type="dxa"/>
              <w:right w:w="80" w:type="dxa"/>
            </w:tcMar>
          </w:tcPr>
          <w:p>
            <w:pPr>
              <w:jc w:val="right"/>
            </w:pPr>
            <w:r>
              <w:rPr>
                <w:rFonts w:ascii="Times New Roman" w:hAnsi="Times New Roman"/>
                <w:sz w:val="19"/>
              </w:rPr>
              <w:t>44</w:t>
            </w:r>
          </w:p>
        </w:tc>
      </w:tr>
      <w:tr>
        <w:tc>
          <w:tcPr>
            <w:tcW w:type="dxa" w:w="3000"/>
            <w:shd w:fill="FFFFFF"/>
            <w:tcMar>
              <w:top w:w="50" w:type="dxa"/>
              <w:bottom w:w="50" w:type="dxa"/>
              <w:left w:w="80" w:type="dxa"/>
              <w:right w:w="80" w:type="dxa"/>
            </w:tcMar>
          </w:tcPr>
          <w:p>
            <w:pPr>
              <w:jc w:val="center"/>
            </w:pPr>
            <w:r>
              <w:rPr>
                <w:rFonts w:ascii="Times New Roman" w:hAnsi="Times New Roman"/>
                <w:b/>
                <w:sz w:val="19"/>
              </w:rPr>
              <w:t>Figure 6.3</w:t>
            </w:r>
          </w:p>
        </w:tc>
        <w:tc>
          <w:tcPr>
            <w:tcW w:type="dxa" w:w="3000"/>
            <w:shd w:fill="FFFFFF"/>
            <w:tcMar>
              <w:top w:w="50" w:type="dxa"/>
              <w:bottom w:w="50" w:type="dxa"/>
              <w:left w:w="80" w:type="dxa"/>
              <w:right w:w="80" w:type="dxa"/>
            </w:tcMar>
          </w:tcPr>
          <w:p>
            <w:r>
              <w:rPr>
                <w:rFonts w:ascii="Times New Roman" w:hAnsi="Times New Roman"/>
                <w:sz w:val="19"/>
              </w:rPr>
              <w:t>Empirical Ablation Study: Mean Absolute Error (MAE) Across Physiological Models</w:t>
            </w:r>
          </w:p>
        </w:tc>
        <w:tc>
          <w:tcPr>
            <w:tcW w:type="dxa" w:w="3000"/>
            <w:shd w:fill="FFFFFF"/>
            <w:tcMar>
              <w:top w:w="50" w:type="dxa"/>
              <w:bottom w:w="50" w:type="dxa"/>
              <w:left w:w="80" w:type="dxa"/>
              <w:right w:w="80" w:type="dxa"/>
            </w:tcMar>
          </w:tcPr>
          <w:p>
            <w:pPr>
              <w:jc w:val="right"/>
            </w:pPr>
            <w:r>
              <w:rPr>
                <w:rFonts w:ascii="Times New Roman" w:hAnsi="Times New Roman"/>
                <w:sz w:val="19"/>
              </w:rPr>
              <w:t>49</w:t>
            </w:r>
          </w:p>
        </w:tc>
      </w:tr>
      <w:tr>
        <w:tc>
          <w:tcPr>
            <w:tcW w:type="dxa" w:w="3000"/>
            <w:shd w:fill="F8FAFC"/>
            <w:tcMar>
              <w:top w:w="50" w:type="dxa"/>
              <w:bottom w:w="50" w:type="dxa"/>
              <w:left w:w="80" w:type="dxa"/>
              <w:right w:w="80" w:type="dxa"/>
            </w:tcMar>
          </w:tcPr>
          <w:p>
            <w:pPr>
              <w:jc w:val="center"/>
            </w:pPr>
            <w:r>
              <w:rPr>
                <w:rFonts w:ascii="Times New Roman" w:hAnsi="Times New Roman"/>
                <w:b/>
                <w:sz w:val="19"/>
              </w:rPr>
              <w:t>Figure 6.4</w:t>
            </w:r>
          </w:p>
        </w:tc>
        <w:tc>
          <w:tcPr>
            <w:tcW w:type="dxa" w:w="3000"/>
            <w:shd w:fill="F8FAFC"/>
            <w:tcMar>
              <w:top w:w="50" w:type="dxa"/>
              <w:bottom w:w="50" w:type="dxa"/>
              <w:left w:w="80" w:type="dxa"/>
              <w:right w:w="80" w:type="dxa"/>
            </w:tcMar>
          </w:tcPr>
          <w:p>
            <w:r>
              <w:rPr>
                <w:rFonts w:ascii="Times New Roman" w:hAnsi="Times New Roman"/>
                <w:sz w:val="19"/>
              </w:rPr>
              <w:t>Hardware Subsystem Current Draw Profile and 48-Hour Smartwatch Battery Budget</w:t>
            </w:r>
          </w:p>
        </w:tc>
        <w:tc>
          <w:tcPr>
            <w:tcW w:type="dxa" w:w="3000"/>
            <w:shd w:fill="F8FAFC"/>
            <w:tcMar>
              <w:top w:w="50" w:type="dxa"/>
              <w:bottom w:w="50" w:type="dxa"/>
              <w:left w:w="80" w:type="dxa"/>
              <w:right w:w="80" w:type="dxa"/>
            </w:tcMar>
          </w:tcPr>
          <w:p>
            <w:pPr>
              <w:jc w:val="right"/>
            </w:pPr>
            <w:r>
              <w:rPr>
                <w:rFonts w:ascii="Times New Roman" w:hAnsi="Times New Roman"/>
                <w:sz w:val="19"/>
              </w:rPr>
              <w:t>51</w:t>
            </w:r>
          </w:p>
        </w:tc>
      </w:tr>
    </w:tbl>
    <w:p>
      <w:pPr>
        <w:spacing w:before="480" w:after="0" w:line="360" w:lineRule="auto"/>
        <w:jc w:val="center"/>
      </w:pPr>
      <w:r>
        <w:rPr>
          <w:rFonts w:ascii="Times New Roman" w:hAnsi="Times New Roman"/>
          <w:b w:val="0"/>
          <w:i/>
          <w:sz w:val="20"/>
        </w:rPr>
        <w:t>Page II</w:t>
      </w:r>
    </w:p>
    <w:p>
      <w:r>
        <w:br w:type="page"/>
      </w:r>
    </w:p>
    <w:p>
      <w:pPr>
        <w:spacing w:before="320" w:after="280" w:line="360" w:lineRule="auto"/>
        <w:jc w:val="center"/>
      </w:pPr>
      <w:r>
        <w:rPr>
          <w:rFonts w:ascii="Times New Roman" w:hAnsi="Times New Roman"/>
          <w:b/>
          <w:i w:val="0"/>
          <w:color w:val="1E3A8A"/>
          <w:sz w:val="32"/>
        </w:rPr>
        <w:t>LIST OF TABLES</w:t>
      </w:r>
    </w:p>
    <w:tbl>
      <w:tblPr>
        <w:tblW w:type="auto" w:w="0"/>
        <w:jc w:val="center"/>
        <w:tblLook w:firstColumn="1" w:firstRow="1" w:lastColumn="0" w:lastRow="0" w:noHBand="0" w:noVBand="1" w:val="04A0"/>
        <w:tblBorders>
          <w:top w:val="single" w:sz="2" w:space="0" w:color="CBD5E1"/>
          <w:bottom w:val="single" w:sz="2" w:space="0" w:color="CBD5E1"/>
          <w:insideH w:val="single" w:sz="2" w:space="0" w:color="CBD5E1"/>
          <w:left w:val="none"/>
          <w:right w:val="none"/>
          <w:insideV w:val="none"/>
        </w:tblBorders>
      </w:tblPr>
      <w:tblGrid>
        <w:gridCol w:w="3000"/>
        <w:gridCol w:w="3000"/>
        <w:gridCol w:w="3000"/>
      </w:tblGrid>
      <w:tr>
        <w:tc>
          <w:tcPr>
            <w:tcW w:type="dxa" w:w="3000"/>
            <w:shd w:fill="1E3A8A"/>
          </w:tcPr>
          <w:p>
            <w:r>
              <w:rPr>
                <w:rFonts w:ascii="Times New Roman" w:hAnsi="Times New Roman"/>
                <w:b/>
                <w:color w:val="FFFFFF"/>
                <w:sz w:val="20"/>
              </w:rPr>
              <w:t>Table No.</w:t>
            </w:r>
          </w:p>
        </w:tc>
        <w:tc>
          <w:tcPr>
            <w:tcW w:type="dxa" w:w="3000"/>
            <w:shd w:fill="1E3A8A"/>
          </w:tcPr>
          <w:p>
            <w:r>
              <w:rPr>
                <w:rFonts w:ascii="Times New Roman" w:hAnsi="Times New Roman"/>
                <w:b/>
                <w:color w:val="FFFFFF"/>
                <w:sz w:val="20"/>
              </w:rPr>
              <w:t>Table Title / Specification</w:t>
            </w:r>
          </w:p>
        </w:tc>
        <w:tc>
          <w:tcPr>
            <w:tcW w:type="dxa" w:w="3000"/>
            <w:shd w:fill="1E3A8A"/>
          </w:tcPr>
          <w:p>
            <w:r>
              <w:rPr>
                <w:rFonts w:ascii="Times New Roman" w:hAnsi="Times New Roman"/>
                <w:b/>
                <w:color w:val="FFFFFF"/>
                <w:sz w:val="20"/>
              </w:rPr>
              <w:t>Page No.</w:t>
            </w:r>
          </w:p>
        </w:tc>
      </w:tr>
      <w:tr>
        <w:tc>
          <w:tcPr>
            <w:tcW w:type="dxa" w:w="3000"/>
            <w:shd w:fill="FFFFFF"/>
            <w:tcMar>
              <w:top w:w="50" w:type="dxa"/>
              <w:bottom w:w="50" w:type="dxa"/>
              <w:left w:w="80" w:type="dxa"/>
              <w:right w:w="80" w:type="dxa"/>
            </w:tcMar>
          </w:tcPr>
          <w:p>
            <w:pPr>
              <w:jc w:val="center"/>
            </w:pPr>
            <w:r>
              <w:rPr>
                <w:rFonts w:ascii="Times New Roman" w:hAnsi="Times New Roman"/>
                <w:b/>
                <w:sz w:val="19"/>
              </w:rPr>
              <w:t>Table 2.1</w:t>
            </w:r>
          </w:p>
        </w:tc>
        <w:tc>
          <w:tcPr>
            <w:tcW w:type="dxa" w:w="3000"/>
            <w:shd w:fill="FFFFFF"/>
            <w:tcMar>
              <w:top w:w="50" w:type="dxa"/>
              <w:bottom w:w="50" w:type="dxa"/>
              <w:left w:w="80" w:type="dxa"/>
              <w:right w:w="80" w:type="dxa"/>
            </w:tcMar>
          </w:tcPr>
          <w:p>
            <w:r>
              <w:rPr>
                <w:rFonts w:ascii="Times New Roman" w:hAnsi="Times New Roman"/>
                <w:sz w:val="19"/>
              </w:rPr>
              <w:t>Comparative Architectural and Privacy Matrix: InstaHealth vs Commercial Platforms</w:t>
            </w:r>
          </w:p>
        </w:tc>
        <w:tc>
          <w:tcPr>
            <w:tcW w:type="dxa" w:w="3000"/>
            <w:shd w:fill="FFFFFF"/>
            <w:tcMar>
              <w:top w:w="50" w:type="dxa"/>
              <w:bottom w:w="50" w:type="dxa"/>
              <w:left w:w="80" w:type="dxa"/>
              <w:right w:w="80" w:type="dxa"/>
            </w:tcMar>
          </w:tcPr>
          <w:p>
            <w:pPr>
              <w:jc w:val="right"/>
            </w:pPr>
            <w:r>
              <w:rPr>
                <w:rFonts w:ascii="Times New Roman" w:hAnsi="Times New Roman"/>
                <w:sz w:val="19"/>
              </w:rPr>
              <w:t>11</w:t>
            </w:r>
          </w:p>
        </w:tc>
      </w:tr>
      <w:tr>
        <w:tc>
          <w:tcPr>
            <w:tcW w:type="dxa" w:w="3000"/>
            <w:shd w:fill="F8FAFC"/>
            <w:tcMar>
              <w:top w:w="50" w:type="dxa"/>
              <w:bottom w:w="50" w:type="dxa"/>
              <w:left w:w="80" w:type="dxa"/>
              <w:right w:w="80" w:type="dxa"/>
            </w:tcMar>
          </w:tcPr>
          <w:p>
            <w:pPr>
              <w:jc w:val="center"/>
            </w:pPr>
            <w:r>
              <w:rPr>
                <w:rFonts w:ascii="Times New Roman" w:hAnsi="Times New Roman"/>
                <w:b/>
                <w:sz w:val="19"/>
              </w:rPr>
              <w:t>Table 3.1</w:t>
            </w:r>
          </w:p>
        </w:tc>
        <w:tc>
          <w:tcPr>
            <w:tcW w:type="dxa" w:w="3000"/>
            <w:shd w:fill="F8FAFC"/>
            <w:tcMar>
              <w:top w:w="50" w:type="dxa"/>
              <w:bottom w:w="50" w:type="dxa"/>
              <w:left w:w="80" w:type="dxa"/>
              <w:right w:w="80" w:type="dxa"/>
            </w:tcMar>
          </w:tcPr>
          <w:p>
            <w:r>
              <w:rPr>
                <w:rFonts w:ascii="Times New Roman" w:hAnsi="Times New Roman"/>
                <w:sz w:val="19"/>
              </w:rPr>
              <w:t>Project Risk Assessment, Likelihood-Impact Rating, and Architectural Mitigation Matrix</w:t>
            </w:r>
          </w:p>
        </w:tc>
        <w:tc>
          <w:tcPr>
            <w:tcW w:type="dxa" w:w="3000"/>
            <w:shd w:fill="F8FAFC"/>
            <w:tcMar>
              <w:top w:w="50" w:type="dxa"/>
              <w:bottom w:w="50" w:type="dxa"/>
              <w:left w:w="80" w:type="dxa"/>
              <w:right w:w="80" w:type="dxa"/>
            </w:tcMar>
          </w:tcPr>
          <w:p>
            <w:pPr>
              <w:jc w:val="right"/>
            </w:pPr>
            <w:r>
              <w:rPr>
                <w:rFonts w:ascii="Times New Roman" w:hAnsi="Times New Roman"/>
                <w:sz w:val="19"/>
              </w:rPr>
              <w:t>19</w:t>
            </w:r>
          </w:p>
        </w:tc>
      </w:tr>
      <w:tr>
        <w:tc>
          <w:tcPr>
            <w:tcW w:type="dxa" w:w="3000"/>
            <w:shd w:fill="FFFFFF"/>
            <w:tcMar>
              <w:top w:w="50" w:type="dxa"/>
              <w:bottom w:w="50" w:type="dxa"/>
              <w:left w:w="80" w:type="dxa"/>
              <w:right w:w="80" w:type="dxa"/>
            </w:tcMar>
          </w:tcPr>
          <w:p>
            <w:pPr>
              <w:jc w:val="center"/>
            </w:pPr>
            <w:r>
              <w:rPr>
                <w:rFonts w:ascii="Times New Roman" w:hAnsi="Times New Roman"/>
                <w:b/>
                <w:sz w:val="19"/>
              </w:rPr>
              <w:t>Table 4.1</w:t>
            </w:r>
          </w:p>
        </w:tc>
        <w:tc>
          <w:tcPr>
            <w:tcW w:type="dxa" w:w="3000"/>
            <w:shd w:fill="FFFFFF"/>
            <w:tcMar>
              <w:top w:w="50" w:type="dxa"/>
              <w:bottom w:w="50" w:type="dxa"/>
              <w:left w:w="80" w:type="dxa"/>
              <w:right w:w="80" w:type="dxa"/>
            </w:tcMar>
          </w:tcPr>
          <w:p>
            <w:r>
              <w:rPr>
                <w:rFonts w:ascii="Times New Roman" w:hAnsi="Times New Roman"/>
                <w:sz w:val="19"/>
              </w:rPr>
              <w:t>Embedded Microcontroller and Biometric Hardware Sensor Specifications</w:t>
            </w:r>
          </w:p>
        </w:tc>
        <w:tc>
          <w:tcPr>
            <w:tcW w:type="dxa" w:w="3000"/>
            <w:shd w:fill="FFFFFF"/>
            <w:tcMar>
              <w:top w:w="50" w:type="dxa"/>
              <w:bottom w:w="50" w:type="dxa"/>
              <w:left w:w="80" w:type="dxa"/>
              <w:right w:w="80" w:type="dxa"/>
            </w:tcMar>
          </w:tcPr>
          <w:p>
            <w:pPr>
              <w:jc w:val="right"/>
            </w:pPr>
            <w:r>
              <w:rPr>
                <w:rFonts w:ascii="Times New Roman" w:hAnsi="Times New Roman"/>
                <w:sz w:val="19"/>
              </w:rPr>
              <w:t>22</w:t>
            </w:r>
          </w:p>
        </w:tc>
      </w:tr>
      <w:tr>
        <w:tc>
          <w:tcPr>
            <w:tcW w:type="dxa" w:w="3000"/>
            <w:shd w:fill="F8FAFC"/>
            <w:tcMar>
              <w:top w:w="50" w:type="dxa"/>
              <w:bottom w:w="50" w:type="dxa"/>
              <w:left w:w="80" w:type="dxa"/>
              <w:right w:w="80" w:type="dxa"/>
            </w:tcMar>
          </w:tcPr>
          <w:p>
            <w:pPr>
              <w:jc w:val="center"/>
            </w:pPr>
            <w:r>
              <w:rPr>
                <w:rFonts w:ascii="Times New Roman" w:hAnsi="Times New Roman"/>
                <w:b/>
                <w:sz w:val="19"/>
              </w:rPr>
              <w:t>Table 4.2</w:t>
            </w:r>
          </w:p>
        </w:tc>
        <w:tc>
          <w:tcPr>
            <w:tcW w:type="dxa" w:w="3000"/>
            <w:shd w:fill="F8FAFC"/>
            <w:tcMar>
              <w:top w:w="50" w:type="dxa"/>
              <w:bottom w:w="50" w:type="dxa"/>
              <w:left w:w="80" w:type="dxa"/>
              <w:right w:w="80" w:type="dxa"/>
            </w:tcMar>
          </w:tcPr>
          <w:p>
            <w:r>
              <w:rPr>
                <w:rFonts w:ascii="Times New Roman" w:hAnsi="Times New Roman"/>
                <w:sz w:val="19"/>
              </w:rPr>
              <w:t>InstaHealth System Comprehensive Data Dictionary and Flow Specifications</w:t>
            </w:r>
          </w:p>
        </w:tc>
        <w:tc>
          <w:tcPr>
            <w:tcW w:type="dxa" w:w="3000"/>
            <w:shd w:fill="F8FAFC"/>
            <w:tcMar>
              <w:top w:w="50" w:type="dxa"/>
              <w:bottom w:w="50" w:type="dxa"/>
              <w:left w:w="80" w:type="dxa"/>
              <w:right w:w="80" w:type="dxa"/>
            </w:tcMar>
          </w:tcPr>
          <w:p>
            <w:pPr>
              <w:jc w:val="right"/>
            </w:pPr>
            <w:r>
              <w:rPr>
                <w:rFonts w:ascii="Times New Roman" w:hAnsi="Times New Roman"/>
                <w:sz w:val="19"/>
              </w:rPr>
              <w:t>29</w:t>
            </w:r>
          </w:p>
        </w:tc>
      </w:tr>
      <w:tr>
        <w:tc>
          <w:tcPr>
            <w:tcW w:type="dxa" w:w="3000"/>
            <w:shd w:fill="FFFFFF"/>
            <w:tcMar>
              <w:top w:w="50" w:type="dxa"/>
              <w:bottom w:w="50" w:type="dxa"/>
              <w:left w:w="80" w:type="dxa"/>
              <w:right w:w="80" w:type="dxa"/>
            </w:tcMar>
          </w:tcPr>
          <w:p>
            <w:pPr>
              <w:jc w:val="center"/>
            </w:pPr>
            <w:r>
              <w:rPr>
                <w:rFonts w:ascii="Times New Roman" w:hAnsi="Times New Roman"/>
                <w:b/>
                <w:sz w:val="19"/>
              </w:rPr>
              <w:t>Table 4.3</w:t>
            </w:r>
          </w:p>
        </w:tc>
        <w:tc>
          <w:tcPr>
            <w:tcW w:type="dxa" w:w="3000"/>
            <w:shd w:fill="FFFFFF"/>
            <w:tcMar>
              <w:top w:w="50" w:type="dxa"/>
              <w:bottom w:w="50" w:type="dxa"/>
              <w:left w:w="80" w:type="dxa"/>
              <w:right w:w="80" w:type="dxa"/>
            </w:tcMar>
          </w:tcPr>
          <w:p>
            <w:r>
              <w:rPr>
                <w:rFonts w:ascii="Times New Roman" w:hAnsi="Times New Roman"/>
                <w:sz w:val="19"/>
              </w:rPr>
              <w:t>Clinically Stratified Demographic Population Baseline Lookup Table</w:t>
            </w:r>
          </w:p>
        </w:tc>
        <w:tc>
          <w:tcPr>
            <w:tcW w:type="dxa" w:w="3000"/>
            <w:shd w:fill="FFFFFF"/>
            <w:tcMar>
              <w:top w:w="50" w:type="dxa"/>
              <w:bottom w:w="50" w:type="dxa"/>
              <w:left w:w="80" w:type="dxa"/>
              <w:right w:w="80" w:type="dxa"/>
            </w:tcMar>
          </w:tcPr>
          <w:p>
            <w:pPr>
              <w:jc w:val="right"/>
            </w:pPr>
            <w:r>
              <w:rPr>
                <w:rFonts w:ascii="Times New Roman" w:hAnsi="Times New Roman"/>
                <w:sz w:val="19"/>
              </w:rPr>
              <w:t>30</w:t>
            </w:r>
          </w:p>
        </w:tc>
      </w:tr>
      <w:tr>
        <w:tc>
          <w:tcPr>
            <w:tcW w:type="dxa" w:w="3000"/>
            <w:shd w:fill="F8FAFC"/>
            <w:tcMar>
              <w:top w:w="50" w:type="dxa"/>
              <w:bottom w:w="50" w:type="dxa"/>
              <w:left w:w="80" w:type="dxa"/>
              <w:right w:w="80" w:type="dxa"/>
            </w:tcMar>
          </w:tcPr>
          <w:p>
            <w:pPr>
              <w:jc w:val="center"/>
            </w:pPr>
            <w:r>
              <w:rPr>
                <w:rFonts w:ascii="Times New Roman" w:hAnsi="Times New Roman"/>
                <w:b/>
                <w:sz w:val="19"/>
              </w:rPr>
              <w:t>Table 4.4</w:t>
            </w:r>
          </w:p>
        </w:tc>
        <w:tc>
          <w:tcPr>
            <w:tcW w:type="dxa" w:w="3000"/>
            <w:shd w:fill="F8FAFC"/>
            <w:tcMar>
              <w:top w:w="50" w:type="dxa"/>
              <w:bottom w:w="50" w:type="dxa"/>
              <w:left w:w="80" w:type="dxa"/>
              <w:right w:w="80" w:type="dxa"/>
            </w:tcMar>
          </w:tcPr>
          <w:p>
            <w:r>
              <w:rPr>
                <w:rFonts w:ascii="Times New Roman" w:hAnsi="Times New Roman"/>
                <w:sz w:val="19"/>
              </w:rPr>
              <w:t>Karvonen Heart Rate Reserve (HRR) Training Intensity Zones and Metabolic Demands</w:t>
            </w:r>
          </w:p>
        </w:tc>
        <w:tc>
          <w:tcPr>
            <w:tcW w:type="dxa" w:w="3000"/>
            <w:shd w:fill="F8FAFC"/>
            <w:tcMar>
              <w:top w:w="50" w:type="dxa"/>
              <w:bottom w:w="50" w:type="dxa"/>
              <w:left w:w="80" w:type="dxa"/>
              <w:right w:w="80" w:type="dxa"/>
            </w:tcMar>
          </w:tcPr>
          <w:p>
            <w:pPr>
              <w:jc w:val="right"/>
            </w:pPr>
            <w:r>
              <w:rPr>
                <w:rFonts w:ascii="Times New Roman" w:hAnsi="Times New Roman"/>
                <w:sz w:val="19"/>
              </w:rPr>
              <w:t>31</w:t>
            </w:r>
          </w:p>
        </w:tc>
      </w:tr>
      <w:tr>
        <w:tc>
          <w:tcPr>
            <w:tcW w:type="dxa" w:w="3000"/>
            <w:shd w:fill="FFFFFF"/>
            <w:tcMar>
              <w:top w:w="50" w:type="dxa"/>
              <w:bottom w:w="50" w:type="dxa"/>
              <w:left w:w="80" w:type="dxa"/>
              <w:right w:w="80" w:type="dxa"/>
            </w:tcMar>
          </w:tcPr>
          <w:p>
            <w:pPr>
              <w:jc w:val="center"/>
            </w:pPr>
            <w:r>
              <w:rPr>
                <w:rFonts w:ascii="Times New Roman" w:hAnsi="Times New Roman"/>
                <w:b/>
                <w:sz w:val="19"/>
              </w:rPr>
              <w:t>Table 5.1</w:t>
            </w:r>
          </w:p>
        </w:tc>
        <w:tc>
          <w:tcPr>
            <w:tcW w:type="dxa" w:w="3000"/>
            <w:shd w:fill="FFFFFF"/>
            <w:tcMar>
              <w:top w:w="50" w:type="dxa"/>
              <w:bottom w:w="50" w:type="dxa"/>
              <w:left w:w="80" w:type="dxa"/>
              <w:right w:w="80" w:type="dxa"/>
            </w:tcMar>
          </w:tcPr>
          <w:p>
            <w:r>
              <w:rPr>
                <w:rFonts w:ascii="Times New Roman" w:hAnsi="Times New Roman"/>
                <w:sz w:val="19"/>
              </w:rPr>
              <w:t>Embedded Hardware Platform Comparison and Compute Resource Allocation</w:t>
            </w:r>
          </w:p>
        </w:tc>
        <w:tc>
          <w:tcPr>
            <w:tcW w:type="dxa" w:w="3000"/>
            <w:shd w:fill="FFFFFF"/>
            <w:tcMar>
              <w:top w:w="50" w:type="dxa"/>
              <w:bottom w:w="50" w:type="dxa"/>
              <w:left w:w="80" w:type="dxa"/>
              <w:right w:w="80" w:type="dxa"/>
            </w:tcMar>
          </w:tcPr>
          <w:p>
            <w:pPr>
              <w:jc w:val="right"/>
            </w:pPr>
            <w:r>
              <w:rPr>
                <w:rFonts w:ascii="Times New Roman" w:hAnsi="Times New Roman"/>
                <w:sz w:val="19"/>
              </w:rPr>
              <w:t>33</w:t>
            </w:r>
          </w:p>
        </w:tc>
      </w:tr>
      <w:tr>
        <w:tc>
          <w:tcPr>
            <w:tcW w:type="dxa" w:w="3000"/>
            <w:shd w:fill="F8FAFC"/>
            <w:tcMar>
              <w:top w:w="50" w:type="dxa"/>
              <w:bottom w:w="50" w:type="dxa"/>
              <w:left w:w="80" w:type="dxa"/>
              <w:right w:w="80" w:type="dxa"/>
            </w:tcMar>
          </w:tcPr>
          <w:p>
            <w:pPr>
              <w:jc w:val="center"/>
            </w:pPr>
            <w:r>
              <w:rPr>
                <w:rFonts w:ascii="Times New Roman" w:hAnsi="Times New Roman"/>
                <w:b/>
                <w:sz w:val="19"/>
              </w:rPr>
              <w:t>Table 5.2</w:t>
            </w:r>
          </w:p>
        </w:tc>
        <w:tc>
          <w:tcPr>
            <w:tcW w:type="dxa" w:w="3000"/>
            <w:shd w:fill="F8FAFC"/>
            <w:tcMar>
              <w:top w:w="50" w:type="dxa"/>
              <w:bottom w:w="50" w:type="dxa"/>
              <w:left w:w="80" w:type="dxa"/>
              <w:right w:w="80" w:type="dxa"/>
            </w:tcMar>
          </w:tcPr>
          <w:p>
            <w:r>
              <w:rPr>
                <w:rFonts w:ascii="Times New Roman" w:hAnsi="Times New Roman"/>
                <w:sz w:val="19"/>
              </w:rPr>
              <w:t>Software Toolchains, Libraries, Compilers, and Runtime Dependencies</w:t>
            </w:r>
          </w:p>
        </w:tc>
        <w:tc>
          <w:tcPr>
            <w:tcW w:type="dxa" w:w="3000"/>
            <w:shd w:fill="F8FAFC"/>
            <w:tcMar>
              <w:top w:w="50" w:type="dxa"/>
              <w:bottom w:w="50" w:type="dxa"/>
              <w:left w:w="80" w:type="dxa"/>
              <w:right w:w="80" w:type="dxa"/>
            </w:tcMar>
          </w:tcPr>
          <w:p>
            <w:pPr>
              <w:jc w:val="right"/>
            </w:pPr>
            <w:r>
              <w:rPr>
                <w:rFonts w:ascii="Times New Roman" w:hAnsi="Times New Roman"/>
                <w:sz w:val="19"/>
              </w:rPr>
              <w:t>34</w:t>
            </w:r>
          </w:p>
        </w:tc>
      </w:tr>
      <w:tr>
        <w:tc>
          <w:tcPr>
            <w:tcW w:type="dxa" w:w="3000"/>
            <w:shd w:fill="FFFFFF"/>
            <w:tcMar>
              <w:top w:w="50" w:type="dxa"/>
              <w:bottom w:w="50" w:type="dxa"/>
              <w:left w:w="80" w:type="dxa"/>
              <w:right w:w="80" w:type="dxa"/>
            </w:tcMar>
          </w:tcPr>
          <w:p>
            <w:pPr>
              <w:jc w:val="center"/>
            </w:pPr>
            <w:r>
              <w:rPr>
                <w:rFonts w:ascii="Times New Roman" w:hAnsi="Times New Roman"/>
                <w:b/>
                <w:sz w:val="19"/>
              </w:rPr>
              <w:t>Table 5.3</w:t>
            </w:r>
          </w:p>
        </w:tc>
        <w:tc>
          <w:tcPr>
            <w:tcW w:type="dxa" w:w="3000"/>
            <w:shd w:fill="FFFFFF"/>
            <w:tcMar>
              <w:top w:w="50" w:type="dxa"/>
              <w:bottom w:w="50" w:type="dxa"/>
              <w:left w:w="80" w:type="dxa"/>
              <w:right w:w="80" w:type="dxa"/>
            </w:tcMar>
          </w:tcPr>
          <w:p>
            <w:r>
              <w:rPr>
                <w:rFonts w:ascii="Times New Roman" w:hAnsi="Times New Roman"/>
                <w:sz w:val="19"/>
              </w:rPr>
              <w:t>InstaHealth Multi-Profile Avatar Sandboxing and Namespace Partitioning</w:t>
            </w:r>
          </w:p>
        </w:tc>
        <w:tc>
          <w:tcPr>
            <w:tcW w:type="dxa" w:w="3000"/>
            <w:shd w:fill="FFFFFF"/>
            <w:tcMar>
              <w:top w:w="50" w:type="dxa"/>
              <w:bottom w:w="50" w:type="dxa"/>
              <w:left w:w="80" w:type="dxa"/>
              <w:right w:w="80" w:type="dxa"/>
            </w:tcMar>
          </w:tcPr>
          <w:p>
            <w:pPr>
              <w:jc w:val="right"/>
            </w:pPr>
            <w:r>
              <w:rPr>
                <w:rFonts w:ascii="Times New Roman" w:hAnsi="Times New Roman"/>
                <w:sz w:val="19"/>
              </w:rPr>
              <w:t>36</w:t>
            </w:r>
          </w:p>
        </w:tc>
      </w:tr>
      <w:tr>
        <w:tc>
          <w:tcPr>
            <w:tcW w:type="dxa" w:w="3000"/>
            <w:shd w:fill="F8FAFC"/>
            <w:tcMar>
              <w:top w:w="50" w:type="dxa"/>
              <w:bottom w:w="50" w:type="dxa"/>
              <w:left w:w="80" w:type="dxa"/>
              <w:right w:w="80" w:type="dxa"/>
            </w:tcMar>
          </w:tcPr>
          <w:p>
            <w:pPr>
              <w:jc w:val="center"/>
            </w:pPr>
            <w:r>
              <w:rPr>
                <w:rFonts w:ascii="Times New Roman" w:hAnsi="Times New Roman"/>
                <w:b/>
                <w:sz w:val="19"/>
              </w:rPr>
              <w:t>Table 6.1</w:t>
            </w:r>
          </w:p>
        </w:tc>
        <w:tc>
          <w:tcPr>
            <w:tcW w:type="dxa" w:w="3000"/>
            <w:shd w:fill="F8FAFC"/>
            <w:tcMar>
              <w:top w:w="50" w:type="dxa"/>
              <w:bottom w:w="50" w:type="dxa"/>
              <w:left w:w="80" w:type="dxa"/>
              <w:right w:w="80" w:type="dxa"/>
            </w:tcMar>
          </w:tcPr>
          <w:p>
            <w:r>
              <w:rPr>
                <w:rFonts w:ascii="Times New Roman" w:hAnsi="Times New Roman"/>
                <w:sz w:val="19"/>
              </w:rPr>
              <w:t>Comprehensive System Test Cases (TC01 to TC12) and Experimental Validation Results</w:t>
            </w:r>
          </w:p>
        </w:tc>
        <w:tc>
          <w:tcPr>
            <w:tcW w:type="dxa" w:w="3000"/>
            <w:shd w:fill="F8FAFC"/>
            <w:tcMar>
              <w:top w:w="50" w:type="dxa"/>
              <w:bottom w:w="50" w:type="dxa"/>
              <w:left w:w="80" w:type="dxa"/>
              <w:right w:w="80" w:type="dxa"/>
            </w:tcMar>
          </w:tcPr>
          <w:p>
            <w:pPr>
              <w:jc w:val="right"/>
            </w:pPr>
            <w:r>
              <w:rPr>
                <w:rFonts w:ascii="Times New Roman" w:hAnsi="Times New Roman"/>
                <w:sz w:val="19"/>
              </w:rPr>
              <w:t>46</w:t>
            </w:r>
          </w:p>
        </w:tc>
      </w:tr>
      <w:tr>
        <w:tc>
          <w:tcPr>
            <w:tcW w:type="dxa" w:w="3000"/>
            <w:shd w:fill="FFFFFF"/>
            <w:tcMar>
              <w:top w:w="50" w:type="dxa"/>
              <w:bottom w:w="50" w:type="dxa"/>
              <w:left w:w="80" w:type="dxa"/>
              <w:right w:w="80" w:type="dxa"/>
            </w:tcMar>
          </w:tcPr>
          <w:p>
            <w:pPr>
              <w:jc w:val="center"/>
            </w:pPr>
            <w:r>
              <w:rPr>
                <w:rFonts w:ascii="Times New Roman" w:hAnsi="Times New Roman"/>
                <w:b/>
                <w:sz w:val="19"/>
              </w:rPr>
              <w:t>Table 6.2</w:t>
            </w:r>
          </w:p>
        </w:tc>
        <w:tc>
          <w:tcPr>
            <w:tcW w:type="dxa" w:w="3000"/>
            <w:shd w:fill="FFFFFF"/>
            <w:tcMar>
              <w:top w:w="50" w:type="dxa"/>
              <w:bottom w:w="50" w:type="dxa"/>
              <w:left w:w="80" w:type="dxa"/>
              <w:right w:w="80" w:type="dxa"/>
            </w:tcMar>
          </w:tcPr>
          <w:p>
            <w:r>
              <w:rPr>
                <w:rFonts w:ascii="Times New Roman" w:hAnsi="Times New Roman"/>
                <w:sz w:val="19"/>
              </w:rPr>
              <w:t>Signal Quality Index (SQI) Artifact Rejection Performance Across Activity Modalities</w:t>
            </w:r>
          </w:p>
        </w:tc>
        <w:tc>
          <w:tcPr>
            <w:tcW w:type="dxa" w:w="3000"/>
            <w:shd w:fill="FFFFFF"/>
            <w:tcMar>
              <w:top w:w="50" w:type="dxa"/>
              <w:bottom w:w="50" w:type="dxa"/>
              <w:left w:w="80" w:type="dxa"/>
              <w:right w:w="80" w:type="dxa"/>
            </w:tcMar>
          </w:tcPr>
          <w:p>
            <w:pPr>
              <w:jc w:val="right"/>
            </w:pPr>
            <w:r>
              <w:rPr>
                <w:rFonts w:ascii="Times New Roman" w:hAnsi="Times New Roman"/>
                <w:sz w:val="19"/>
              </w:rPr>
              <w:t>48</w:t>
            </w:r>
          </w:p>
        </w:tc>
      </w:tr>
      <w:tr>
        <w:tc>
          <w:tcPr>
            <w:tcW w:type="dxa" w:w="3000"/>
            <w:shd w:fill="F8FAFC"/>
            <w:tcMar>
              <w:top w:w="50" w:type="dxa"/>
              <w:bottom w:w="50" w:type="dxa"/>
              <w:left w:w="80" w:type="dxa"/>
              <w:right w:w="80" w:type="dxa"/>
            </w:tcMar>
          </w:tcPr>
          <w:p>
            <w:pPr>
              <w:jc w:val="center"/>
            </w:pPr>
            <w:r>
              <w:rPr>
                <w:rFonts w:ascii="Times New Roman" w:hAnsi="Times New Roman"/>
                <w:b/>
                <w:sz w:val="19"/>
              </w:rPr>
              <w:t>Table 6.3</w:t>
            </w:r>
          </w:p>
        </w:tc>
        <w:tc>
          <w:tcPr>
            <w:tcW w:type="dxa" w:w="3000"/>
            <w:shd w:fill="F8FAFC"/>
            <w:tcMar>
              <w:top w:w="50" w:type="dxa"/>
              <w:bottom w:w="50" w:type="dxa"/>
              <w:left w:w="80" w:type="dxa"/>
              <w:right w:w="80" w:type="dxa"/>
            </w:tcMar>
          </w:tcPr>
          <w:p>
            <w:r>
              <w:rPr>
                <w:rFonts w:ascii="Times New Roman" w:hAnsi="Times New Roman"/>
                <w:sz w:val="19"/>
              </w:rPr>
              <w:t>Empirical Model Ablation Performance: TinyML MLP vs Linear Regression vs Static Rules</w:t>
            </w:r>
          </w:p>
        </w:tc>
        <w:tc>
          <w:tcPr>
            <w:tcW w:type="dxa" w:w="3000"/>
            <w:shd w:fill="F8FAFC"/>
            <w:tcMar>
              <w:top w:w="50" w:type="dxa"/>
              <w:bottom w:w="50" w:type="dxa"/>
              <w:left w:w="80" w:type="dxa"/>
              <w:right w:w="80" w:type="dxa"/>
            </w:tcMar>
          </w:tcPr>
          <w:p>
            <w:pPr>
              <w:jc w:val="right"/>
            </w:pPr>
            <w:r>
              <w:rPr>
                <w:rFonts w:ascii="Times New Roman" w:hAnsi="Times New Roman"/>
                <w:sz w:val="19"/>
              </w:rPr>
              <w:t>49</w:t>
            </w:r>
          </w:p>
        </w:tc>
      </w:tr>
      <w:tr>
        <w:tc>
          <w:tcPr>
            <w:tcW w:type="dxa" w:w="3000"/>
            <w:shd w:fill="FFFFFF"/>
            <w:tcMar>
              <w:top w:w="50" w:type="dxa"/>
              <w:bottom w:w="50" w:type="dxa"/>
              <w:left w:w="80" w:type="dxa"/>
              <w:right w:w="80" w:type="dxa"/>
            </w:tcMar>
          </w:tcPr>
          <w:p>
            <w:pPr>
              <w:jc w:val="center"/>
            </w:pPr>
            <w:r>
              <w:rPr>
                <w:rFonts w:ascii="Times New Roman" w:hAnsi="Times New Roman"/>
                <w:b/>
                <w:sz w:val="19"/>
              </w:rPr>
              <w:t>Table 6.4</w:t>
            </w:r>
          </w:p>
        </w:tc>
        <w:tc>
          <w:tcPr>
            <w:tcW w:type="dxa" w:w="3000"/>
            <w:shd w:fill="FFFFFF"/>
            <w:tcMar>
              <w:top w:w="50" w:type="dxa"/>
              <w:bottom w:w="50" w:type="dxa"/>
              <w:left w:w="80" w:type="dxa"/>
              <w:right w:w="80" w:type="dxa"/>
            </w:tcMar>
          </w:tcPr>
          <w:p>
            <w:r>
              <w:rPr>
                <w:rFonts w:ascii="Times New Roman" w:hAnsi="Times New Roman"/>
                <w:sz w:val="19"/>
              </w:rPr>
              <w:t>On-Device Execution Latency and Memory Footprint Profile on ARM Cortex-M4F</w:t>
            </w:r>
          </w:p>
        </w:tc>
        <w:tc>
          <w:tcPr>
            <w:tcW w:type="dxa" w:w="3000"/>
            <w:shd w:fill="FFFFFF"/>
            <w:tcMar>
              <w:top w:w="50" w:type="dxa"/>
              <w:bottom w:w="50" w:type="dxa"/>
              <w:left w:w="80" w:type="dxa"/>
              <w:right w:w="80" w:type="dxa"/>
            </w:tcMar>
          </w:tcPr>
          <w:p>
            <w:pPr>
              <w:jc w:val="right"/>
            </w:pPr>
            <w:r>
              <w:rPr>
                <w:rFonts w:ascii="Times New Roman" w:hAnsi="Times New Roman"/>
                <w:sz w:val="19"/>
              </w:rPr>
              <w:t>50</w:t>
            </w:r>
          </w:p>
        </w:tc>
      </w:tr>
      <w:tr>
        <w:tc>
          <w:tcPr>
            <w:tcW w:type="dxa" w:w="3000"/>
            <w:shd w:fill="F8FAFC"/>
            <w:tcMar>
              <w:top w:w="50" w:type="dxa"/>
              <w:bottom w:w="50" w:type="dxa"/>
              <w:left w:w="80" w:type="dxa"/>
              <w:right w:w="80" w:type="dxa"/>
            </w:tcMar>
          </w:tcPr>
          <w:p>
            <w:pPr>
              <w:jc w:val="center"/>
            </w:pPr>
            <w:r>
              <w:rPr>
                <w:rFonts w:ascii="Times New Roman" w:hAnsi="Times New Roman"/>
                <w:b/>
                <w:sz w:val="19"/>
              </w:rPr>
              <w:t>Table 6.5</w:t>
            </w:r>
          </w:p>
        </w:tc>
        <w:tc>
          <w:tcPr>
            <w:tcW w:type="dxa" w:w="3000"/>
            <w:shd w:fill="F8FAFC"/>
            <w:tcMar>
              <w:top w:w="50" w:type="dxa"/>
              <w:bottom w:w="50" w:type="dxa"/>
              <w:left w:w="80" w:type="dxa"/>
              <w:right w:w="80" w:type="dxa"/>
            </w:tcMar>
          </w:tcPr>
          <w:p>
            <w:r>
              <w:rPr>
                <w:rFonts w:ascii="Times New Roman" w:hAnsi="Times New Roman"/>
                <w:sz w:val="19"/>
              </w:rPr>
              <w:t>Subsystem Current Consumption Profile and 65 mAh Battery Life Budget</w:t>
            </w:r>
          </w:p>
        </w:tc>
        <w:tc>
          <w:tcPr>
            <w:tcW w:type="dxa" w:w="3000"/>
            <w:shd w:fill="F8FAFC"/>
            <w:tcMar>
              <w:top w:w="50" w:type="dxa"/>
              <w:bottom w:w="50" w:type="dxa"/>
              <w:left w:w="80" w:type="dxa"/>
              <w:right w:w="80" w:type="dxa"/>
            </w:tcMar>
          </w:tcPr>
          <w:p>
            <w:pPr>
              <w:jc w:val="right"/>
            </w:pPr>
            <w:r>
              <w:rPr>
                <w:rFonts w:ascii="Times New Roman" w:hAnsi="Times New Roman"/>
                <w:sz w:val="19"/>
              </w:rPr>
              <w:t>51</w:t>
            </w:r>
          </w:p>
        </w:tc>
      </w:tr>
    </w:tbl>
    <w:p>
      <w:pPr>
        <w:spacing w:before="480" w:after="0" w:line="360" w:lineRule="auto"/>
        <w:jc w:val="center"/>
      </w:pPr>
      <w:r>
        <w:rPr>
          <w:rFonts w:ascii="Times New Roman" w:hAnsi="Times New Roman"/>
          <w:b w:val="0"/>
          <w:i/>
          <w:sz w:val="20"/>
        </w:rPr>
        <w:t>Page III</w:t>
      </w:r>
    </w:p>
    <w:p>
      <w:r>
        <w:br w:type="page"/>
      </w:r>
    </w:p>
    <w:p>
      <w:pPr>
        <w:spacing w:before="320" w:after="280" w:line="360" w:lineRule="auto"/>
        <w:jc w:val="center"/>
      </w:pPr>
      <w:r>
        <w:rPr>
          <w:rFonts w:ascii="Times New Roman" w:hAnsi="Times New Roman"/>
          <w:b/>
          <w:i w:val="0"/>
          <w:color w:val="1E3A8A"/>
          <w:sz w:val="32"/>
        </w:rPr>
        <w:t>LIST OF ABBREVIATIONS</w:t>
      </w:r>
    </w:p>
    <w:tbl>
      <w:tblPr>
        <w:tblW w:type="auto" w:w="0"/>
        <w:jc w:val="center"/>
        <w:tblLook w:firstColumn="1" w:firstRow="1" w:lastColumn="0" w:lastRow="0" w:noHBand="0" w:noVBand="1" w:val="04A0"/>
        <w:tblBorders>
          <w:top w:val="single" w:sz="2" w:space="0" w:color="CBD5E1"/>
          <w:bottom w:val="single" w:sz="2" w:space="0" w:color="CBD5E1"/>
          <w:insideH w:val="single" w:sz="2" w:space="0" w:color="CBD5E1"/>
          <w:left w:val="none"/>
          <w:right w:val="none"/>
          <w:insideV w:val="none"/>
        </w:tblBorders>
      </w:tblPr>
      <w:tblGrid>
        <w:gridCol w:w="4500"/>
        <w:gridCol w:w="4500"/>
      </w:tblGrid>
      <w:tr>
        <w:tc>
          <w:tcPr>
            <w:tcW w:type="dxa" w:w="4500"/>
            <w:shd w:fill="1E3A8A"/>
          </w:tcPr>
          <w:p>
            <w:r>
              <w:rPr>
                <w:rFonts w:ascii="Times New Roman" w:hAnsi="Times New Roman"/>
                <w:b/>
                <w:color w:val="FFFFFF"/>
                <w:sz w:val="20"/>
              </w:rPr>
              <w:t>Abbreviation</w:t>
            </w:r>
          </w:p>
        </w:tc>
        <w:tc>
          <w:tcPr>
            <w:tcW w:type="dxa" w:w="4500"/>
            <w:shd w:fill="1E3A8A"/>
          </w:tcPr>
          <w:p>
            <w:r>
              <w:rPr>
                <w:rFonts w:ascii="Times New Roman" w:hAnsi="Times New Roman"/>
                <w:b/>
                <w:color w:val="FFFFFF"/>
                <w:sz w:val="20"/>
              </w:rPr>
              <w:t>Full Expansion / Terminology</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API</w:t>
            </w:r>
          </w:p>
        </w:tc>
        <w:tc>
          <w:tcPr>
            <w:tcW w:type="dxa" w:w="4500"/>
            <w:shd w:fill="FFFFFF"/>
            <w:tcMar>
              <w:top w:w="40" w:type="dxa"/>
              <w:bottom w:w="40" w:type="dxa"/>
              <w:left w:w="80" w:type="dxa"/>
              <w:right w:w="80" w:type="dxa"/>
            </w:tcMar>
          </w:tcPr>
          <w:p>
            <w:r>
              <w:rPr>
                <w:rFonts w:ascii="Times New Roman" w:hAnsi="Times New Roman"/>
                <w:sz w:val="19"/>
              </w:rPr>
              <w:t>Application Programming Interface</w:t>
            </w:r>
          </w:p>
        </w:tc>
      </w:tr>
      <w:tr>
        <w:tc>
          <w:tcPr>
            <w:tcW w:type="dxa" w:w="4500"/>
            <w:shd w:fill="F8FAFC"/>
            <w:tcMar>
              <w:top w:w="40" w:type="dxa"/>
              <w:bottom w:w="40" w:type="dxa"/>
              <w:left w:w="80" w:type="dxa"/>
              <w:right w:w="80" w:type="dxa"/>
            </w:tcMar>
          </w:tcPr>
          <w:p>
            <w:pPr>
              <w:jc w:val="center"/>
            </w:pPr>
            <w:r>
              <w:rPr>
                <w:rFonts w:ascii="Times New Roman" w:hAnsi="Times New Roman"/>
                <w:b/>
                <w:sz w:val="19"/>
              </w:rPr>
              <w:t>BLE</w:t>
            </w:r>
          </w:p>
        </w:tc>
        <w:tc>
          <w:tcPr>
            <w:tcW w:type="dxa" w:w="4500"/>
            <w:shd w:fill="F8FAFC"/>
            <w:tcMar>
              <w:top w:w="40" w:type="dxa"/>
              <w:bottom w:w="40" w:type="dxa"/>
              <w:left w:w="80" w:type="dxa"/>
              <w:right w:w="80" w:type="dxa"/>
            </w:tcMar>
          </w:tcPr>
          <w:p>
            <w:r>
              <w:rPr>
                <w:rFonts w:ascii="Times New Roman" w:hAnsi="Times New Roman"/>
                <w:sz w:val="19"/>
              </w:rPr>
              <w:t>Bluetooth Low Energy</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BPM</w:t>
            </w:r>
          </w:p>
        </w:tc>
        <w:tc>
          <w:tcPr>
            <w:tcW w:type="dxa" w:w="4500"/>
            <w:shd w:fill="FFFFFF"/>
            <w:tcMar>
              <w:top w:w="40" w:type="dxa"/>
              <w:bottom w:w="40" w:type="dxa"/>
              <w:left w:w="80" w:type="dxa"/>
              <w:right w:w="80" w:type="dxa"/>
            </w:tcMar>
          </w:tcPr>
          <w:p>
            <w:r>
              <w:rPr>
                <w:rFonts w:ascii="Times New Roman" w:hAnsi="Times New Roman"/>
                <w:sz w:val="19"/>
              </w:rPr>
              <w:t>Beats Per Minute</w:t>
            </w:r>
          </w:p>
        </w:tc>
      </w:tr>
      <w:tr>
        <w:tc>
          <w:tcPr>
            <w:tcW w:type="dxa" w:w="4500"/>
            <w:shd w:fill="F8FAFC"/>
            <w:tcMar>
              <w:top w:w="40" w:type="dxa"/>
              <w:bottom w:w="40" w:type="dxa"/>
              <w:left w:w="80" w:type="dxa"/>
              <w:right w:w="80" w:type="dxa"/>
            </w:tcMar>
          </w:tcPr>
          <w:p>
            <w:pPr>
              <w:jc w:val="center"/>
            </w:pPr>
            <w:r>
              <w:rPr>
                <w:rFonts w:ascii="Times New Roman" w:hAnsi="Times New Roman"/>
                <w:b/>
                <w:sz w:val="19"/>
              </w:rPr>
              <w:t>CDC</w:t>
            </w:r>
          </w:p>
        </w:tc>
        <w:tc>
          <w:tcPr>
            <w:tcW w:type="dxa" w:w="4500"/>
            <w:shd w:fill="F8FAFC"/>
            <w:tcMar>
              <w:top w:w="40" w:type="dxa"/>
              <w:bottom w:w="40" w:type="dxa"/>
              <w:left w:w="80" w:type="dxa"/>
              <w:right w:w="80" w:type="dxa"/>
            </w:tcMar>
          </w:tcPr>
          <w:p>
            <w:r>
              <w:rPr>
                <w:rFonts w:ascii="Times New Roman" w:hAnsi="Times New Roman"/>
                <w:sz w:val="19"/>
              </w:rPr>
              <w:t>Centers for Disease Control and Prevention</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CMSIS-NN</w:t>
            </w:r>
          </w:p>
        </w:tc>
        <w:tc>
          <w:tcPr>
            <w:tcW w:type="dxa" w:w="4500"/>
            <w:shd w:fill="FFFFFF"/>
            <w:tcMar>
              <w:top w:w="40" w:type="dxa"/>
              <w:bottom w:w="40" w:type="dxa"/>
              <w:left w:w="80" w:type="dxa"/>
              <w:right w:w="80" w:type="dxa"/>
            </w:tcMar>
          </w:tcPr>
          <w:p>
            <w:r>
              <w:rPr>
                <w:rFonts w:ascii="Times New Roman" w:hAnsi="Times New Roman"/>
                <w:sz w:val="19"/>
              </w:rPr>
              <w:t>Cortex Microcontroller Software Interface Standard - Neural Network</w:t>
            </w:r>
          </w:p>
        </w:tc>
      </w:tr>
      <w:tr>
        <w:tc>
          <w:tcPr>
            <w:tcW w:type="dxa" w:w="4500"/>
            <w:shd w:fill="F8FAFC"/>
            <w:tcMar>
              <w:top w:w="40" w:type="dxa"/>
              <w:bottom w:w="40" w:type="dxa"/>
              <w:left w:w="80" w:type="dxa"/>
              <w:right w:w="80" w:type="dxa"/>
            </w:tcMar>
          </w:tcPr>
          <w:p>
            <w:pPr>
              <w:jc w:val="center"/>
            </w:pPr>
            <w:r>
              <w:rPr>
                <w:rFonts w:ascii="Times New Roman" w:hAnsi="Times New Roman"/>
                <w:b/>
                <w:sz w:val="19"/>
              </w:rPr>
              <w:t>DFD</w:t>
            </w:r>
          </w:p>
        </w:tc>
        <w:tc>
          <w:tcPr>
            <w:tcW w:type="dxa" w:w="4500"/>
            <w:shd w:fill="F8FAFC"/>
            <w:tcMar>
              <w:top w:w="40" w:type="dxa"/>
              <w:bottom w:w="40" w:type="dxa"/>
              <w:left w:w="80" w:type="dxa"/>
              <w:right w:w="80" w:type="dxa"/>
            </w:tcMar>
          </w:tcPr>
          <w:p>
            <w:r>
              <w:rPr>
                <w:rFonts w:ascii="Times New Roman" w:hAnsi="Times New Roman"/>
                <w:sz w:val="19"/>
              </w:rPr>
              <w:t>Data Flow Diagram</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DMA</w:t>
            </w:r>
          </w:p>
        </w:tc>
        <w:tc>
          <w:tcPr>
            <w:tcW w:type="dxa" w:w="4500"/>
            <w:shd w:fill="FFFFFF"/>
            <w:tcMar>
              <w:top w:w="40" w:type="dxa"/>
              <w:bottom w:w="40" w:type="dxa"/>
              <w:left w:w="80" w:type="dxa"/>
              <w:right w:w="80" w:type="dxa"/>
            </w:tcMar>
          </w:tcPr>
          <w:p>
            <w:r>
              <w:rPr>
                <w:rFonts w:ascii="Times New Roman" w:hAnsi="Times New Roman"/>
                <w:sz w:val="19"/>
              </w:rPr>
              <w:t>Direct Memory Access</w:t>
            </w:r>
          </w:p>
        </w:tc>
      </w:tr>
      <w:tr>
        <w:tc>
          <w:tcPr>
            <w:tcW w:type="dxa" w:w="4500"/>
            <w:shd w:fill="F8FAFC"/>
            <w:tcMar>
              <w:top w:w="40" w:type="dxa"/>
              <w:bottom w:w="40" w:type="dxa"/>
              <w:left w:w="80" w:type="dxa"/>
              <w:right w:w="80" w:type="dxa"/>
            </w:tcMar>
          </w:tcPr>
          <w:p>
            <w:pPr>
              <w:jc w:val="center"/>
            </w:pPr>
            <w:r>
              <w:rPr>
                <w:rFonts w:ascii="Times New Roman" w:hAnsi="Times New Roman"/>
                <w:b/>
                <w:sz w:val="19"/>
              </w:rPr>
              <w:t>DSP</w:t>
            </w:r>
          </w:p>
        </w:tc>
        <w:tc>
          <w:tcPr>
            <w:tcW w:type="dxa" w:w="4500"/>
            <w:shd w:fill="F8FAFC"/>
            <w:tcMar>
              <w:top w:w="40" w:type="dxa"/>
              <w:bottom w:w="40" w:type="dxa"/>
              <w:left w:w="80" w:type="dxa"/>
              <w:right w:w="80" w:type="dxa"/>
            </w:tcMar>
          </w:tcPr>
          <w:p>
            <w:r>
              <w:rPr>
                <w:rFonts w:ascii="Times New Roman" w:hAnsi="Times New Roman"/>
                <w:sz w:val="19"/>
              </w:rPr>
              <w:t>Digital Signal Processing</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ECG</w:t>
            </w:r>
          </w:p>
        </w:tc>
        <w:tc>
          <w:tcPr>
            <w:tcW w:type="dxa" w:w="4500"/>
            <w:shd w:fill="FFFFFF"/>
            <w:tcMar>
              <w:top w:w="40" w:type="dxa"/>
              <w:bottom w:w="40" w:type="dxa"/>
              <w:left w:w="80" w:type="dxa"/>
              <w:right w:w="80" w:type="dxa"/>
            </w:tcMar>
          </w:tcPr>
          <w:p>
            <w:r>
              <w:rPr>
                <w:rFonts w:ascii="Times New Roman" w:hAnsi="Times New Roman"/>
                <w:sz w:val="19"/>
              </w:rPr>
              <w:t>Electrocardiogram</w:t>
            </w:r>
          </w:p>
        </w:tc>
      </w:tr>
      <w:tr>
        <w:tc>
          <w:tcPr>
            <w:tcW w:type="dxa" w:w="4500"/>
            <w:shd w:fill="F8FAFC"/>
            <w:tcMar>
              <w:top w:w="40" w:type="dxa"/>
              <w:bottom w:w="40" w:type="dxa"/>
              <w:left w:w="80" w:type="dxa"/>
              <w:right w:w="80" w:type="dxa"/>
            </w:tcMar>
          </w:tcPr>
          <w:p>
            <w:pPr>
              <w:jc w:val="center"/>
            </w:pPr>
            <w:r>
              <w:rPr>
                <w:rFonts w:ascii="Times New Roman" w:hAnsi="Times New Roman"/>
                <w:b/>
                <w:sz w:val="19"/>
              </w:rPr>
              <w:t>EDA</w:t>
            </w:r>
          </w:p>
        </w:tc>
        <w:tc>
          <w:tcPr>
            <w:tcW w:type="dxa" w:w="4500"/>
            <w:shd w:fill="F8FAFC"/>
            <w:tcMar>
              <w:top w:w="40" w:type="dxa"/>
              <w:bottom w:w="40" w:type="dxa"/>
              <w:left w:w="80" w:type="dxa"/>
              <w:right w:w="80" w:type="dxa"/>
            </w:tcMar>
          </w:tcPr>
          <w:p>
            <w:r>
              <w:rPr>
                <w:rFonts w:ascii="Times New Roman" w:hAnsi="Times New Roman"/>
                <w:sz w:val="19"/>
              </w:rPr>
              <w:t>Electrodermal Activity</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EEPROM</w:t>
            </w:r>
          </w:p>
        </w:tc>
        <w:tc>
          <w:tcPr>
            <w:tcW w:type="dxa" w:w="4500"/>
            <w:shd w:fill="FFFFFF"/>
            <w:tcMar>
              <w:top w:w="40" w:type="dxa"/>
              <w:bottom w:w="40" w:type="dxa"/>
              <w:left w:w="80" w:type="dxa"/>
              <w:right w:w="80" w:type="dxa"/>
            </w:tcMar>
          </w:tcPr>
          <w:p>
            <w:r>
              <w:rPr>
                <w:rFonts w:ascii="Times New Roman" w:hAnsi="Times New Roman"/>
                <w:sz w:val="19"/>
              </w:rPr>
              <w:t>Electrically Erasable Programmable Read-Only Memory</w:t>
            </w:r>
          </w:p>
        </w:tc>
      </w:tr>
      <w:tr>
        <w:tc>
          <w:tcPr>
            <w:tcW w:type="dxa" w:w="4500"/>
            <w:shd w:fill="F8FAFC"/>
            <w:tcMar>
              <w:top w:w="40" w:type="dxa"/>
              <w:bottom w:w="40" w:type="dxa"/>
              <w:left w:w="80" w:type="dxa"/>
              <w:right w:w="80" w:type="dxa"/>
            </w:tcMar>
          </w:tcPr>
          <w:p>
            <w:pPr>
              <w:jc w:val="center"/>
            </w:pPr>
            <w:r>
              <w:rPr>
                <w:rFonts w:ascii="Times New Roman" w:hAnsi="Times New Roman"/>
                <w:b/>
                <w:sz w:val="19"/>
              </w:rPr>
              <w:t>EMA</w:t>
            </w:r>
          </w:p>
        </w:tc>
        <w:tc>
          <w:tcPr>
            <w:tcW w:type="dxa" w:w="4500"/>
            <w:shd w:fill="F8FAFC"/>
            <w:tcMar>
              <w:top w:w="40" w:type="dxa"/>
              <w:bottom w:w="40" w:type="dxa"/>
              <w:left w:w="80" w:type="dxa"/>
              <w:right w:w="80" w:type="dxa"/>
            </w:tcMar>
          </w:tcPr>
          <w:p>
            <w:r>
              <w:rPr>
                <w:rFonts w:ascii="Times New Roman" w:hAnsi="Times New Roman"/>
                <w:sz w:val="19"/>
              </w:rPr>
              <w:t>Exponential Moving Average</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FFT</w:t>
            </w:r>
          </w:p>
        </w:tc>
        <w:tc>
          <w:tcPr>
            <w:tcW w:type="dxa" w:w="4500"/>
            <w:shd w:fill="FFFFFF"/>
            <w:tcMar>
              <w:top w:w="40" w:type="dxa"/>
              <w:bottom w:w="40" w:type="dxa"/>
              <w:left w:w="80" w:type="dxa"/>
              <w:right w:w="80" w:type="dxa"/>
            </w:tcMar>
          </w:tcPr>
          <w:p>
            <w:r>
              <w:rPr>
                <w:rFonts w:ascii="Times New Roman" w:hAnsi="Times New Roman"/>
                <w:sz w:val="19"/>
              </w:rPr>
              <w:t>Fast Fourier Transform</w:t>
            </w:r>
          </w:p>
        </w:tc>
      </w:tr>
      <w:tr>
        <w:tc>
          <w:tcPr>
            <w:tcW w:type="dxa" w:w="4500"/>
            <w:shd w:fill="F8FAFC"/>
            <w:tcMar>
              <w:top w:w="40" w:type="dxa"/>
              <w:bottom w:w="40" w:type="dxa"/>
              <w:left w:w="80" w:type="dxa"/>
              <w:right w:w="80" w:type="dxa"/>
            </w:tcMar>
          </w:tcPr>
          <w:p>
            <w:pPr>
              <w:jc w:val="center"/>
            </w:pPr>
            <w:r>
              <w:rPr>
                <w:rFonts w:ascii="Times New Roman" w:hAnsi="Times New Roman"/>
                <w:b/>
                <w:sz w:val="19"/>
              </w:rPr>
              <w:t>FPU</w:t>
            </w:r>
          </w:p>
        </w:tc>
        <w:tc>
          <w:tcPr>
            <w:tcW w:type="dxa" w:w="4500"/>
            <w:shd w:fill="F8FAFC"/>
            <w:tcMar>
              <w:top w:w="40" w:type="dxa"/>
              <w:bottom w:w="40" w:type="dxa"/>
              <w:left w:w="80" w:type="dxa"/>
              <w:right w:w="80" w:type="dxa"/>
            </w:tcMar>
          </w:tcPr>
          <w:p>
            <w:r>
              <w:rPr>
                <w:rFonts w:ascii="Times New Roman" w:hAnsi="Times New Roman"/>
                <w:sz w:val="19"/>
              </w:rPr>
              <w:t>Floating Point Unit</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GDPR</w:t>
            </w:r>
          </w:p>
        </w:tc>
        <w:tc>
          <w:tcPr>
            <w:tcW w:type="dxa" w:w="4500"/>
            <w:shd w:fill="FFFFFF"/>
            <w:tcMar>
              <w:top w:w="40" w:type="dxa"/>
              <w:bottom w:w="40" w:type="dxa"/>
              <w:left w:w="80" w:type="dxa"/>
              <w:right w:w="80" w:type="dxa"/>
            </w:tcMar>
          </w:tcPr>
          <w:p>
            <w:r>
              <w:rPr>
                <w:rFonts w:ascii="Times New Roman" w:hAnsi="Times New Roman"/>
                <w:sz w:val="19"/>
              </w:rPr>
              <w:t>General Data Protection Regulation</w:t>
            </w:r>
          </w:p>
        </w:tc>
      </w:tr>
      <w:tr>
        <w:tc>
          <w:tcPr>
            <w:tcW w:type="dxa" w:w="4500"/>
            <w:shd w:fill="F8FAFC"/>
            <w:tcMar>
              <w:top w:w="40" w:type="dxa"/>
              <w:bottom w:w="40" w:type="dxa"/>
              <w:left w:w="80" w:type="dxa"/>
              <w:right w:w="80" w:type="dxa"/>
            </w:tcMar>
          </w:tcPr>
          <w:p>
            <w:pPr>
              <w:jc w:val="center"/>
            </w:pPr>
            <w:r>
              <w:rPr>
                <w:rFonts w:ascii="Times New Roman" w:hAnsi="Times New Roman"/>
                <w:b/>
                <w:sz w:val="19"/>
              </w:rPr>
              <w:t>GUI</w:t>
            </w:r>
          </w:p>
        </w:tc>
        <w:tc>
          <w:tcPr>
            <w:tcW w:type="dxa" w:w="4500"/>
            <w:shd w:fill="F8FAFC"/>
            <w:tcMar>
              <w:top w:w="40" w:type="dxa"/>
              <w:bottom w:w="40" w:type="dxa"/>
              <w:left w:w="80" w:type="dxa"/>
              <w:right w:w="80" w:type="dxa"/>
            </w:tcMar>
          </w:tcPr>
          <w:p>
            <w:r>
              <w:rPr>
                <w:rFonts w:ascii="Times New Roman" w:hAnsi="Times New Roman"/>
                <w:sz w:val="19"/>
              </w:rPr>
              <w:t>Graphical User Interface</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HIPAA</w:t>
            </w:r>
          </w:p>
        </w:tc>
        <w:tc>
          <w:tcPr>
            <w:tcW w:type="dxa" w:w="4500"/>
            <w:shd w:fill="FFFFFF"/>
            <w:tcMar>
              <w:top w:w="40" w:type="dxa"/>
              <w:bottom w:w="40" w:type="dxa"/>
              <w:left w:w="80" w:type="dxa"/>
              <w:right w:w="80" w:type="dxa"/>
            </w:tcMar>
          </w:tcPr>
          <w:p>
            <w:r>
              <w:rPr>
                <w:rFonts w:ascii="Times New Roman" w:hAnsi="Times New Roman"/>
                <w:sz w:val="19"/>
              </w:rPr>
              <w:t>Health Insurance Portability and Accountability Act</w:t>
            </w:r>
          </w:p>
        </w:tc>
      </w:tr>
      <w:tr>
        <w:tc>
          <w:tcPr>
            <w:tcW w:type="dxa" w:w="4500"/>
            <w:shd w:fill="F8FAFC"/>
            <w:tcMar>
              <w:top w:w="40" w:type="dxa"/>
              <w:bottom w:w="40" w:type="dxa"/>
              <w:left w:w="80" w:type="dxa"/>
              <w:right w:w="80" w:type="dxa"/>
            </w:tcMar>
          </w:tcPr>
          <w:p>
            <w:pPr>
              <w:jc w:val="center"/>
            </w:pPr>
            <w:r>
              <w:rPr>
                <w:rFonts w:ascii="Times New Roman" w:hAnsi="Times New Roman"/>
                <w:b/>
                <w:sz w:val="19"/>
              </w:rPr>
              <w:t>HR</w:t>
            </w:r>
          </w:p>
        </w:tc>
        <w:tc>
          <w:tcPr>
            <w:tcW w:type="dxa" w:w="4500"/>
            <w:shd w:fill="F8FAFC"/>
            <w:tcMar>
              <w:top w:w="40" w:type="dxa"/>
              <w:bottom w:w="40" w:type="dxa"/>
              <w:left w:w="80" w:type="dxa"/>
              <w:right w:w="80" w:type="dxa"/>
            </w:tcMar>
          </w:tcPr>
          <w:p>
            <w:r>
              <w:rPr>
                <w:rFonts w:ascii="Times New Roman" w:hAnsi="Times New Roman"/>
                <w:sz w:val="19"/>
              </w:rPr>
              <w:t>Heart Rate</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HRmax</w:t>
            </w:r>
          </w:p>
        </w:tc>
        <w:tc>
          <w:tcPr>
            <w:tcW w:type="dxa" w:w="4500"/>
            <w:shd w:fill="FFFFFF"/>
            <w:tcMar>
              <w:top w:w="40" w:type="dxa"/>
              <w:bottom w:w="40" w:type="dxa"/>
              <w:left w:w="80" w:type="dxa"/>
              <w:right w:w="80" w:type="dxa"/>
            </w:tcMar>
          </w:tcPr>
          <w:p>
            <w:r>
              <w:rPr>
                <w:rFonts w:ascii="Times New Roman" w:hAnsi="Times New Roman"/>
                <w:sz w:val="19"/>
              </w:rPr>
              <w:t>Maximum Heart Rate</w:t>
            </w:r>
          </w:p>
        </w:tc>
      </w:tr>
      <w:tr>
        <w:tc>
          <w:tcPr>
            <w:tcW w:type="dxa" w:w="4500"/>
            <w:shd w:fill="F8FAFC"/>
            <w:tcMar>
              <w:top w:w="40" w:type="dxa"/>
              <w:bottom w:w="40" w:type="dxa"/>
              <w:left w:w="80" w:type="dxa"/>
              <w:right w:w="80" w:type="dxa"/>
            </w:tcMar>
          </w:tcPr>
          <w:p>
            <w:pPr>
              <w:jc w:val="center"/>
            </w:pPr>
            <w:r>
              <w:rPr>
                <w:rFonts w:ascii="Times New Roman" w:hAnsi="Times New Roman"/>
                <w:b/>
                <w:sz w:val="19"/>
              </w:rPr>
              <w:t>HRR</w:t>
            </w:r>
          </w:p>
        </w:tc>
        <w:tc>
          <w:tcPr>
            <w:tcW w:type="dxa" w:w="4500"/>
            <w:shd w:fill="F8FAFC"/>
            <w:tcMar>
              <w:top w:w="40" w:type="dxa"/>
              <w:bottom w:w="40" w:type="dxa"/>
              <w:left w:w="80" w:type="dxa"/>
              <w:right w:w="80" w:type="dxa"/>
            </w:tcMar>
          </w:tcPr>
          <w:p>
            <w:r>
              <w:rPr>
                <w:rFonts w:ascii="Times New Roman" w:hAnsi="Times New Roman"/>
                <w:sz w:val="19"/>
              </w:rPr>
              <w:t>Heart Rate Reserve</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HRV</w:t>
            </w:r>
          </w:p>
        </w:tc>
        <w:tc>
          <w:tcPr>
            <w:tcW w:type="dxa" w:w="4500"/>
            <w:shd w:fill="FFFFFF"/>
            <w:tcMar>
              <w:top w:w="40" w:type="dxa"/>
              <w:bottom w:w="40" w:type="dxa"/>
              <w:left w:w="80" w:type="dxa"/>
              <w:right w:w="80" w:type="dxa"/>
            </w:tcMar>
          </w:tcPr>
          <w:p>
            <w:r>
              <w:rPr>
                <w:rFonts w:ascii="Times New Roman" w:hAnsi="Times New Roman"/>
                <w:sz w:val="19"/>
              </w:rPr>
              <w:t>Heart Rate Variability</w:t>
            </w:r>
          </w:p>
        </w:tc>
      </w:tr>
      <w:tr>
        <w:tc>
          <w:tcPr>
            <w:tcW w:type="dxa" w:w="4500"/>
            <w:shd w:fill="F8FAFC"/>
            <w:tcMar>
              <w:top w:w="40" w:type="dxa"/>
              <w:bottom w:w="40" w:type="dxa"/>
              <w:left w:w="80" w:type="dxa"/>
              <w:right w:w="80" w:type="dxa"/>
            </w:tcMar>
          </w:tcPr>
          <w:p>
            <w:pPr>
              <w:jc w:val="center"/>
            </w:pPr>
            <w:r>
              <w:rPr>
                <w:rFonts w:ascii="Times New Roman" w:hAnsi="Times New Roman"/>
                <w:b/>
                <w:sz w:val="19"/>
              </w:rPr>
              <w:t>IMU</w:t>
            </w:r>
          </w:p>
        </w:tc>
        <w:tc>
          <w:tcPr>
            <w:tcW w:type="dxa" w:w="4500"/>
            <w:shd w:fill="F8FAFC"/>
            <w:tcMar>
              <w:top w:w="40" w:type="dxa"/>
              <w:bottom w:w="40" w:type="dxa"/>
              <w:left w:w="80" w:type="dxa"/>
              <w:right w:w="80" w:type="dxa"/>
            </w:tcMar>
          </w:tcPr>
          <w:p>
            <w:r>
              <w:rPr>
                <w:rFonts w:ascii="Times New Roman" w:hAnsi="Times New Roman"/>
                <w:sz w:val="19"/>
              </w:rPr>
              <w:t>Inertial Measurement Unit</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INT8</w:t>
            </w:r>
          </w:p>
        </w:tc>
        <w:tc>
          <w:tcPr>
            <w:tcW w:type="dxa" w:w="4500"/>
            <w:shd w:fill="FFFFFF"/>
            <w:tcMar>
              <w:top w:w="40" w:type="dxa"/>
              <w:bottom w:w="40" w:type="dxa"/>
              <w:left w:w="80" w:type="dxa"/>
              <w:right w:w="80" w:type="dxa"/>
            </w:tcMar>
          </w:tcPr>
          <w:p>
            <w:r>
              <w:rPr>
                <w:rFonts w:ascii="Times New Roman" w:hAnsi="Times New Roman"/>
                <w:sz w:val="19"/>
              </w:rPr>
              <w:t>8-Bit Signed Integer Quantization</w:t>
            </w:r>
          </w:p>
        </w:tc>
      </w:tr>
      <w:tr>
        <w:tc>
          <w:tcPr>
            <w:tcW w:type="dxa" w:w="4500"/>
            <w:shd w:fill="F8FAFC"/>
            <w:tcMar>
              <w:top w:w="40" w:type="dxa"/>
              <w:bottom w:w="40" w:type="dxa"/>
              <w:left w:w="80" w:type="dxa"/>
              <w:right w:w="80" w:type="dxa"/>
            </w:tcMar>
          </w:tcPr>
          <w:p>
            <w:pPr>
              <w:jc w:val="center"/>
            </w:pPr>
            <w:r>
              <w:rPr>
                <w:rFonts w:ascii="Times New Roman" w:hAnsi="Times New Roman"/>
                <w:b/>
                <w:sz w:val="19"/>
              </w:rPr>
              <w:t>IoT</w:t>
            </w:r>
          </w:p>
        </w:tc>
        <w:tc>
          <w:tcPr>
            <w:tcW w:type="dxa" w:w="4500"/>
            <w:shd w:fill="F8FAFC"/>
            <w:tcMar>
              <w:top w:w="40" w:type="dxa"/>
              <w:bottom w:w="40" w:type="dxa"/>
              <w:left w:w="80" w:type="dxa"/>
              <w:right w:w="80" w:type="dxa"/>
            </w:tcMar>
          </w:tcPr>
          <w:p>
            <w:r>
              <w:rPr>
                <w:rFonts w:ascii="Times New Roman" w:hAnsi="Times New Roman"/>
                <w:sz w:val="19"/>
              </w:rPr>
              <w:t>Internet of Things</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MAE</w:t>
            </w:r>
          </w:p>
        </w:tc>
        <w:tc>
          <w:tcPr>
            <w:tcW w:type="dxa" w:w="4500"/>
            <w:shd w:fill="FFFFFF"/>
            <w:tcMar>
              <w:top w:w="40" w:type="dxa"/>
              <w:bottom w:w="40" w:type="dxa"/>
              <w:left w:w="80" w:type="dxa"/>
              <w:right w:w="80" w:type="dxa"/>
            </w:tcMar>
          </w:tcPr>
          <w:p>
            <w:r>
              <w:rPr>
                <w:rFonts w:ascii="Times New Roman" w:hAnsi="Times New Roman"/>
                <w:sz w:val="19"/>
              </w:rPr>
              <w:t>Mean Absolute Error</w:t>
            </w:r>
          </w:p>
        </w:tc>
      </w:tr>
      <w:tr>
        <w:tc>
          <w:tcPr>
            <w:tcW w:type="dxa" w:w="4500"/>
            <w:shd w:fill="F8FAFC"/>
            <w:tcMar>
              <w:top w:w="40" w:type="dxa"/>
              <w:bottom w:w="40" w:type="dxa"/>
              <w:left w:w="80" w:type="dxa"/>
              <w:right w:w="80" w:type="dxa"/>
            </w:tcMar>
          </w:tcPr>
          <w:p>
            <w:pPr>
              <w:jc w:val="center"/>
            </w:pPr>
            <w:r>
              <w:rPr>
                <w:rFonts w:ascii="Times New Roman" w:hAnsi="Times New Roman"/>
                <w:b/>
                <w:sz w:val="19"/>
              </w:rPr>
              <w:t>MCU</w:t>
            </w:r>
          </w:p>
        </w:tc>
        <w:tc>
          <w:tcPr>
            <w:tcW w:type="dxa" w:w="4500"/>
            <w:shd w:fill="F8FAFC"/>
            <w:tcMar>
              <w:top w:w="40" w:type="dxa"/>
              <w:bottom w:w="40" w:type="dxa"/>
              <w:left w:w="80" w:type="dxa"/>
              <w:right w:w="80" w:type="dxa"/>
            </w:tcMar>
          </w:tcPr>
          <w:p>
            <w:r>
              <w:rPr>
                <w:rFonts w:ascii="Times New Roman" w:hAnsi="Times New Roman"/>
                <w:sz w:val="19"/>
              </w:rPr>
              <w:t>Microcontroller Unit</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MLP</w:t>
            </w:r>
          </w:p>
        </w:tc>
        <w:tc>
          <w:tcPr>
            <w:tcW w:type="dxa" w:w="4500"/>
            <w:shd w:fill="FFFFFF"/>
            <w:tcMar>
              <w:top w:w="40" w:type="dxa"/>
              <w:bottom w:w="40" w:type="dxa"/>
              <w:left w:w="80" w:type="dxa"/>
              <w:right w:w="80" w:type="dxa"/>
            </w:tcMar>
          </w:tcPr>
          <w:p>
            <w:r>
              <w:rPr>
                <w:rFonts w:ascii="Times New Roman" w:hAnsi="Times New Roman"/>
                <w:sz w:val="19"/>
              </w:rPr>
              <w:t>Multi-Layer Perceptron</w:t>
            </w:r>
          </w:p>
        </w:tc>
      </w:tr>
      <w:tr>
        <w:tc>
          <w:tcPr>
            <w:tcW w:type="dxa" w:w="4500"/>
            <w:shd w:fill="F8FAFC"/>
            <w:tcMar>
              <w:top w:w="40" w:type="dxa"/>
              <w:bottom w:w="40" w:type="dxa"/>
              <w:left w:w="80" w:type="dxa"/>
              <w:right w:w="80" w:type="dxa"/>
            </w:tcMar>
          </w:tcPr>
          <w:p>
            <w:pPr>
              <w:jc w:val="center"/>
            </w:pPr>
            <w:r>
              <w:rPr>
                <w:rFonts w:ascii="Times New Roman" w:hAnsi="Times New Roman"/>
                <w:b/>
                <w:sz w:val="19"/>
              </w:rPr>
              <w:t>MSE</w:t>
            </w:r>
          </w:p>
        </w:tc>
        <w:tc>
          <w:tcPr>
            <w:tcW w:type="dxa" w:w="4500"/>
            <w:shd w:fill="F8FAFC"/>
            <w:tcMar>
              <w:top w:w="40" w:type="dxa"/>
              <w:bottom w:w="40" w:type="dxa"/>
              <w:left w:w="80" w:type="dxa"/>
              <w:right w:w="80" w:type="dxa"/>
            </w:tcMar>
          </w:tcPr>
          <w:p>
            <w:r>
              <w:rPr>
                <w:rFonts w:ascii="Times New Roman" w:hAnsi="Times New Roman"/>
                <w:sz w:val="19"/>
              </w:rPr>
              <w:t>Mean Squared Error</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PPG</w:t>
            </w:r>
          </w:p>
        </w:tc>
        <w:tc>
          <w:tcPr>
            <w:tcW w:type="dxa" w:w="4500"/>
            <w:shd w:fill="FFFFFF"/>
            <w:tcMar>
              <w:top w:w="40" w:type="dxa"/>
              <w:bottom w:w="40" w:type="dxa"/>
              <w:left w:w="80" w:type="dxa"/>
              <w:right w:w="80" w:type="dxa"/>
            </w:tcMar>
          </w:tcPr>
          <w:p>
            <w:r>
              <w:rPr>
                <w:rFonts w:ascii="Times New Roman" w:hAnsi="Times New Roman"/>
                <w:sz w:val="19"/>
              </w:rPr>
              <w:t>Photoplethysmography</w:t>
            </w:r>
          </w:p>
        </w:tc>
      </w:tr>
      <w:tr>
        <w:tc>
          <w:tcPr>
            <w:tcW w:type="dxa" w:w="4500"/>
            <w:shd w:fill="F8FAFC"/>
            <w:tcMar>
              <w:top w:w="40" w:type="dxa"/>
              <w:bottom w:w="40" w:type="dxa"/>
              <w:left w:w="80" w:type="dxa"/>
              <w:right w:w="80" w:type="dxa"/>
            </w:tcMar>
          </w:tcPr>
          <w:p>
            <w:pPr>
              <w:jc w:val="center"/>
            </w:pPr>
            <w:r>
              <w:rPr>
                <w:rFonts w:ascii="Times New Roman" w:hAnsi="Times New Roman"/>
                <w:b/>
                <w:sz w:val="19"/>
              </w:rPr>
              <w:t>PWA</w:t>
            </w:r>
          </w:p>
        </w:tc>
        <w:tc>
          <w:tcPr>
            <w:tcW w:type="dxa" w:w="4500"/>
            <w:shd w:fill="F8FAFC"/>
            <w:tcMar>
              <w:top w:w="40" w:type="dxa"/>
              <w:bottom w:w="40" w:type="dxa"/>
              <w:left w:w="80" w:type="dxa"/>
              <w:right w:w="80" w:type="dxa"/>
            </w:tcMar>
          </w:tcPr>
          <w:p>
            <w:r>
              <w:rPr>
                <w:rFonts w:ascii="Times New Roman" w:hAnsi="Times New Roman"/>
                <w:sz w:val="19"/>
              </w:rPr>
              <w:t>Progressive Web Application</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RAM</w:t>
            </w:r>
          </w:p>
        </w:tc>
        <w:tc>
          <w:tcPr>
            <w:tcW w:type="dxa" w:w="4500"/>
            <w:shd w:fill="FFFFFF"/>
            <w:tcMar>
              <w:top w:w="40" w:type="dxa"/>
              <w:bottom w:w="40" w:type="dxa"/>
              <w:left w:w="80" w:type="dxa"/>
              <w:right w:w="80" w:type="dxa"/>
            </w:tcMar>
          </w:tcPr>
          <w:p>
            <w:r>
              <w:rPr>
                <w:rFonts w:ascii="Times New Roman" w:hAnsi="Times New Roman"/>
                <w:sz w:val="19"/>
              </w:rPr>
              <w:t>Random Access Memory</w:t>
            </w:r>
          </w:p>
        </w:tc>
      </w:tr>
      <w:tr>
        <w:tc>
          <w:tcPr>
            <w:tcW w:type="dxa" w:w="4500"/>
            <w:shd w:fill="F8FAFC"/>
            <w:tcMar>
              <w:top w:w="40" w:type="dxa"/>
              <w:bottom w:w="40" w:type="dxa"/>
              <w:left w:w="80" w:type="dxa"/>
              <w:right w:w="80" w:type="dxa"/>
            </w:tcMar>
          </w:tcPr>
          <w:p>
            <w:pPr>
              <w:jc w:val="center"/>
            </w:pPr>
            <w:r>
              <w:rPr>
                <w:rFonts w:ascii="Times New Roman" w:hAnsi="Times New Roman"/>
                <w:b/>
                <w:sz w:val="19"/>
              </w:rPr>
              <w:t>ReLU</w:t>
            </w:r>
          </w:p>
        </w:tc>
        <w:tc>
          <w:tcPr>
            <w:tcW w:type="dxa" w:w="4500"/>
            <w:shd w:fill="F8FAFC"/>
            <w:tcMar>
              <w:top w:w="40" w:type="dxa"/>
              <w:bottom w:w="40" w:type="dxa"/>
              <w:left w:w="80" w:type="dxa"/>
              <w:right w:w="80" w:type="dxa"/>
            </w:tcMar>
          </w:tcPr>
          <w:p>
            <w:r>
              <w:rPr>
                <w:rFonts w:ascii="Times New Roman" w:hAnsi="Times New Roman"/>
                <w:sz w:val="19"/>
              </w:rPr>
              <w:t>Rectified Linear Unit</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RMSSD</w:t>
            </w:r>
          </w:p>
        </w:tc>
        <w:tc>
          <w:tcPr>
            <w:tcW w:type="dxa" w:w="4500"/>
            <w:shd w:fill="FFFFFF"/>
            <w:tcMar>
              <w:top w:w="40" w:type="dxa"/>
              <w:bottom w:w="40" w:type="dxa"/>
              <w:left w:w="80" w:type="dxa"/>
              <w:right w:w="80" w:type="dxa"/>
            </w:tcMar>
          </w:tcPr>
          <w:p>
            <w:r>
              <w:rPr>
                <w:rFonts w:ascii="Times New Roman" w:hAnsi="Times New Roman"/>
                <w:sz w:val="19"/>
              </w:rPr>
              <w:t>Root Mean Square of Successive Differences</w:t>
            </w:r>
          </w:p>
        </w:tc>
      </w:tr>
      <w:tr>
        <w:tc>
          <w:tcPr>
            <w:tcW w:type="dxa" w:w="4500"/>
            <w:shd w:fill="F8FAFC"/>
            <w:tcMar>
              <w:top w:w="40" w:type="dxa"/>
              <w:bottom w:w="40" w:type="dxa"/>
              <w:left w:w="80" w:type="dxa"/>
              <w:right w:w="80" w:type="dxa"/>
            </w:tcMar>
          </w:tcPr>
          <w:p>
            <w:pPr>
              <w:jc w:val="center"/>
            </w:pPr>
            <w:r>
              <w:rPr>
                <w:rFonts w:ascii="Times New Roman" w:hAnsi="Times New Roman"/>
                <w:b/>
                <w:sz w:val="19"/>
              </w:rPr>
              <w:t>ROM</w:t>
            </w:r>
          </w:p>
        </w:tc>
        <w:tc>
          <w:tcPr>
            <w:tcW w:type="dxa" w:w="4500"/>
            <w:shd w:fill="F8FAFC"/>
            <w:tcMar>
              <w:top w:w="40" w:type="dxa"/>
              <w:bottom w:w="40" w:type="dxa"/>
              <w:left w:w="80" w:type="dxa"/>
              <w:right w:w="80" w:type="dxa"/>
            </w:tcMar>
          </w:tcPr>
          <w:p>
            <w:r>
              <w:rPr>
                <w:rFonts w:ascii="Times New Roman" w:hAnsi="Times New Roman"/>
                <w:sz w:val="19"/>
              </w:rPr>
              <w:t>Read-Only Memory</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SaMD</w:t>
            </w:r>
          </w:p>
        </w:tc>
        <w:tc>
          <w:tcPr>
            <w:tcW w:type="dxa" w:w="4500"/>
            <w:shd w:fill="FFFFFF"/>
            <w:tcMar>
              <w:top w:w="40" w:type="dxa"/>
              <w:bottom w:w="40" w:type="dxa"/>
              <w:left w:w="80" w:type="dxa"/>
              <w:right w:w="80" w:type="dxa"/>
            </w:tcMar>
          </w:tcPr>
          <w:p>
            <w:r>
              <w:rPr>
                <w:rFonts w:ascii="Times New Roman" w:hAnsi="Times New Roman"/>
                <w:sz w:val="19"/>
              </w:rPr>
              <w:t>Software as a Medical Device</w:t>
            </w:r>
          </w:p>
        </w:tc>
      </w:tr>
      <w:tr>
        <w:tc>
          <w:tcPr>
            <w:tcW w:type="dxa" w:w="4500"/>
            <w:shd w:fill="F8FAFC"/>
            <w:tcMar>
              <w:top w:w="40" w:type="dxa"/>
              <w:bottom w:w="40" w:type="dxa"/>
              <w:left w:w="80" w:type="dxa"/>
              <w:right w:w="80" w:type="dxa"/>
            </w:tcMar>
          </w:tcPr>
          <w:p>
            <w:pPr>
              <w:jc w:val="center"/>
            </w:pPr>
            <w:r>
              <w:rPr>
                <w:rFonts w:ascii="Times New Roman" w:hAnsi="Times New Roman"/>
                <w:b/>
                <w:sz w:val="19"/>
              </w:rPr>
              <w:t>SGD</w:t>
            </w:r>
          </w:p>
        </w:tc>
        <w:tc>
          <w:tcPr>
            <w:tcW w:type="dxa" w:w="4500"/>
            <w:shd w:fill="F8FAFC"/>
            <w:tcMar>
              <w:top w:w="40" w:type="dxa"/>
              <w:bottom w:w="40" w:type="dxa"/>
              <w:left w:w="80" w:type="dxa"/>
              <w:right w:w="80" w:type="dxa"/>
            </w:tcMar>
          </w:tcPr>
          <w:p>
            <w:r>
              <w:rPr>
                <w:rFonts w:ascii="Times New Roman" w:hAnsi="Times New Roman"/>
                <w:sz w:val="19"/>
              </w:rPr>
              <w:t>Stochastic Gradient Descent</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SoC</w:t>
            </w:r>
          </w:p>
        </w:tc>
        <w:tc>
          <w:tcPr>
            <w:tcW w:type="dxa" w:w="4500"/>
            <w:shd w:fill="FFFFFF"/>
            <w:tcMar>
              <w:top w:w="40" w:type="dxa"/>
              <w:bottom w:w="40" w:type="dxa"/>
              <w:left w:w="80" w:type="dxa"/>
              <w:right w:w="80" w:type="dxa"/>
            </w:tcMar>
          </w:tcPr>
          <w:p>
            <w:r>
              <w:rPr>
                <w:rFonts w:ascii="Times New Roman" w:hAnsi="Times New Roman"/>
                <w:sz w:val="19"/>
              </w:rPr>
              <w:t>System on Chip</w:t>
            </w:r>
          </w:p>
        </w:tc>
      </w:tr>
      <w:tr>
        <w:tc>
          <w:tcPr>
            <w:tcW w:type="dxa" w:w="4500"/>
            <w:shd w:fill="F8FAFC"/>
            <w:tcMar>
              <w:top w:w="40" w:type="dxa"/>
              <w:bottom w:w="40" w:type="dxa"/>
              <w:left w:w="80" w:type="dxa"/>
              <w:right w:w="80" w:type="dxa"/>
            </w:tcMar>
          </w:tcPr>
          <w:p>
            <w:pPr>
              <w:jc w:val="center"/>
            </w:pPr>
            <w:r>
              <w:rPr>
                <w:rFonts w:ascii="Times New Roman" w:hAnsi="Times New Roman"/>
                <w:b/>
                <w:sz w:val="19"/>
              </w:rPr>
              <w:t>SQI</w:t>
            </w:r>
          </w:p>
        </w:tc>
        <w:tc>
          <w:tcPr>
            <w:tcW w:type="dxa" w:w="4500"/>
            <w:shd w:fill="F8FAFC"/>
            <w:tcMar>
              <w:top w:w="40" w:type="dxa"/>
              <w:bottom w:w="40" w:type="dxa"/>
              <w:left w:w="80" w:type="dxa"/>
              <w:right w:w="80" w:type="dxa"/>
            </w:tcMar>
          </w:tcPr>
          <w:p>
            <w:r>
              <w:rPr>
                <w:rFonts w:ascii="Times New Roman" w:hAnsi="Times New Roman"/>
                <w:sz w:val="19"/>
              </w:rPr>
              <w:t>Signal Quality Index</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SRAM</w:t>
            </w:r>
          </w:p>
        </w:tc>
        <w:tc>
          <w:tcPr>
            <w:tcW w:type="dxa" w:w="4500"/>
            <w:shd w:fill="FFFFFF"/>
            <w:tcMar>
              <w:top w:w="40" w:type="dxa"/>
              <w:bottom w:w="40" w:type="dxa"/>
              <w:left w:w="80" w:type="dxa"/>
              <w:right w:w="80" w:type="dxa"/>
            </w:tcMar>
          </w:tcPr>
          <w:p>
            <w:r>
              <w:rPr>
                <w:rFonts w:ascii="Times New Roman" w:hAnsi="Times New Roman"/>
                <w:sz w:val="19"/>
              </w:rPr>
              <w:t>Static Random Access Memory</w:t>
            </w:r>
          </w:p>
        </w:tc>
      </w:tr>
      <w:tr>
        <w:tc>
          <w:tcPr>
            <w:tcW w:type="dxa" w:w="4500"/>
            <w:shd w:fill="F8FAFC"/>
            <w:tcMar>
              <w:top w:w="40" w:type="dxa"/>
              <w:bottom w:w="40" w:type="dxa"/>
              <w:left w:w="80" w:type="dxa"/>
              <w:right w:w="80" w:type="dxa"/>
            </w:tcMar>
          </w:tcPr>
          <w:p>
            <w:pPr>
              <w:jc w:val="center"/>
            </w:pPr>
            <w:r>
              <w:rPr>
                <w:rFonts w:ascii="Times New Roman" w:hAnsi="Times New Roman"/>
                <w:b/>
                <w:sz w:val="19"/>
              </w:rPr>
              <w:t>TFLM</w:t>
            </w:r>
          </w:p>
        </w:tc>
        <w:tc>
          <w:tcPr>
            <w:tcW w:type="dxa" w:w="4500"/>
            <w:shd w:fill="F8FAFC"/>
            <w:tcMar>
              <w:top w:w="40" w:type="dxa"/>
              <w:bottom w:w="40" w:type="dxa"/>
              <w:left w:w="80" w:type="dxa"/>
              <w:right w:w="80" w:type="dxa"/>
            </w:tcMar>
          </w:tcPr>
          <w:p>
            <w:r>
              <w:rPr>
                <w:rFonts w:ascii="Times New Roman" w:hAnsi="Times New Roman"/>
                <w:sz w:val="19"/>
              </w:rPr>
              <w:t>TensorFlow Lite for Microcontrollers</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TinyML</w:t>
            </w:r>
          </w:p>
        </w:tc>
        <w:tc>
          <w:tcPr>
            <w:tcW w:type="dxa" w:w="4500"/>
            <w:shd w:fill="FFFFFF"/>
            <w:tcMar>
              <w:top w:w="40" w:type="dxa"/>
              <w:bottom w:w="40" w:type="dxa"/>
              <w:left w:w="80" w:type="dxa"/>
              <w:right w:w="80" w:type="dxa"/>
            </w:tcMar>
          </w:tcPr>
          <w:p>
            <w:r>
              <w:rPr>
                <w:rFonts w:ascii="Times New Roman" w:hAnsi="Times New Roman"/>
                <w:sz w:val="19"/>
              </w:rPr>
              <w:t>Tiny Machine Learning</w:t>
            </w:r>
          </w:p>
        </w:tc>
      </w:tr>
      <w:tr>
        <w:tc>
          <w:tcPr>
            <w:tcW w:type="dxa" w:w="4500"/>
            <w:shd w:fill="F8FAFC"/>
            <w:tcMar>
              <w:top w:w="40" w:type="dxa"/>
              <w:bottom w:w="40" w:type="dxa"/>
              <w:left w:w="80" w:type="dxa"/>
              <w:right w:w="80" w:type="dxa"/>
            </w:tcMar>
          </w:tcPr>
          <w:p>
            <w:pPr>
              <w:jc w:val="center"/>
            </w:pPr>
            <w:r>
              <w:rPr>
                <w:rFonts w:ascii="Times New Roman" w:hAnsi="Times New Roman"/>
                <w:b/>
                <w:sz w:val="19"/>
              </w:rPr>
              <w:t>UI</w:t>
            </w:r>
          </w:p>
        </w:tc>
        <w:tc>
          <w:tcPr>
            <w:tcW w:type="dxa" w:w="4500"/>
            <w:shd w:fill="F8FAFC"/>
            <w:tcMar>
              <w:top w:w="40" w:type="dxa"/>
              <w:bottom w:w="40" w:type="dxa"/>
              <w:left w:w="80" w:type="dxa"/>
              <w:right w:w="80" w:type="dxa"/>
            </w:tcMar>
          </w:tcPr>
          <w:p>
            <w:r>
              <w:rPr>
                <w:rFonts w:ascii="Times New Roman" w:hAnsi="Times New Roman"/>
                <w:sz w:val="19"/>
              </w:rPr>
              <w:t>User Interface</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UX</w:t>
            </w:r>
          </w:p>
        </w:tc>
        <w:tc>
          <w:tcPr>
            <w:tcW w:type="dxa" w:w="4500"/>
            <w:shd w:fill="FFFFFF"/>
            <w:tcMar>
              <w:top w:w="40" w:type="dxa"/>
              <w:bottom w:w="40" w:type="dxa"/>
              <w:left w:w="80" w:type="dxa"/>
              <w:right w:w="80" w:type="dxa"/>
            </w:tcMar>
          </w:tcPr>
          <w:p>
            <w:r>
              <w:rPr>
                <w:rFonts w:ascii="Times New Roman" w:hAnsi="Times New Roman"/>
                <w:sz w:val="19"/>
              </w:rPr>
              <w:t>User Experience</w:t>
            </w:r>
          </w:p>
        </w:tc>
      </w:tr>
      <w:tr>
        <w:tc>
          <w:tcPr>
            <w:tcW w:type="dxa" w:w="4500"/>
            <w:shd w:fill="F8FAFC"/>
            <w:tcMar>
              <w:top w:w="40" w:type="dxa"/>
              <w:bottom w:w="40" w:type="dxa"/>
              <w:left w:w="80" w:type="dxa"/>
              <w:right w:w="80" w:type="dxa"/>
            </w:tcMar>
          </w:tcPr>
          <w:p>
            <w:pPr>
              <w:jc w:val="center"/>
            </w:pPr>
            <w:r>
              <w:rPr>
                <w:rFonts w:ascii="Times New Roman" w:hAnsi="Times New Roman"/>
                <w:b/>
                <w:sz w:val="19"/>
              </w:rPr>
              <w:t>VO2 Max</w:t>
            </w:r>
          </w:p>
        </w:tc>
        <w:tc>
          <w:tcPr>
            <w:tcW w:type="dxa" w:w="4500"/>
            <w:shd w:fill="F8FAFC"/>
            <w:tcMar>
              <w:top w:w="40" w:type="dxa"/>
              <w:bottom w:w="40" w:type="dxa"/>
              <w:left w:w="80" w:type="dxa"/>
              <w:right w:w="80" w:type="dxa"/>
            </w:tcMar>
          </w:tcPr>
          <w:p>
            <w:r>
              <w:rPr>
                <w:rFonts w:ascii="Times New Roman" w:hAnsi="Times New Roman"/>
                <w:sz w:val="19"/>
              </w:rPr>
              <w:t>Maximal Oxygen Consumption Rate</w:t>
            </w:r>
          </w:p>
        </w:tc>
      </w:tr>
      <w:tr>
        <w:tc>
          <w:tcPr>
            <w:tcW w:type="dxa" w:w="4500"/>
            <w:shd w:fill="FFFFFF"/>
            <w:tcMar>
              <w:top w:w="40" w:type="dxa"/>
              <w:bottom w:w="40" w:type="dxa"/>
              <w:left w:w="80" w:type="dxa"/>
              <w:right w:w="80" w:type="dxa"/>
            </w:tcMar>
          </w:tcPr>
          <w:p>
            <w:pPr>
              <w:jc w:val="center"/>
            </w:pPr>
            <w:r>
              <w:rPr>
                <w:rFonts w:ascii="Times New Roman" w:hAnsi="Times New Roman"/>
                <w:b/>
                <w:sz w:val="19"/>
              </w:rPr>
              <w:t>WHO</w:t>
            </w:r>
          </w:p>
        </w:tc>
        <w:tc>
          <w:tcPr>
            <w:tcW w:type="dxa" w:w="4500"/>
            <w:shd w:fill="FFFFFF"/>
            <w:tcMar>
              <w:top w:w="40" w:type="dxa"/>
              <w:bottom w:w="40" w:type="dxa"/>
              <w:left w:w="80" w:type="dxa"/>
              <w:right w:w="80" w:type="dxa"/>
            </w:tcMar>
          </w:tcPr>
          <w:p>
            <w:r>
              <w:rPr>
                <w:rFonts w:ascii="Times New Roman" w:hAnsi="Times New Roman"/>
                <w:sz w:val="19"/>
              </w:rPr>
              <w:t>World Health Organization</w:t>
            </w:r>
          </w:p>
        </w:tc>
      </w:tr>
    </w:tbl>
    <w:p>
      <w:pPr>
        <w:spacing w:before="480" w:after="0" w:line="360" w:lineRule="auto"/>
        <w:jc w:val="center"/>
      </w:pPr>
      <w:r>
        <w:rPr>
          <w:rFonts w:ascii="Times New Roman" w:hAnsi="Times New Roman"/>
          <w:b w:val="0"/>
          <w:i/>
          <w:sz w:val="20"/>
        </w:rPr>
        <w:t>Page IV</w:t>
      </w:r>
    </w:p>
    <w:p>
      <w:r>
        <w:br w:type="page"/>
      </w:r>
    </w:p>
    <w:p>
      <w:pPr>
        <w:spacing w:before="320" w:after="280" w:line="360" w:lineRule="auto"/>
        <w:jc w:val="center"/>
      </w:pPr>
      <w:r>
        <w:rPr>
          <w:rFonts w:ascii="Times New Roman" w:hAnsi="Times New Roman"/>
          <w:b/>
          <w:i w:val="0"/>
          <w:color w:val="1E3A8A"/>
          <w:sz w:val="32"/>
        </w:rPr>
        <w:t>CHAPTER 1: INTRODUCTION</w:t>
      </w:r>
    </w:p>
    <w:p>
      <w:pPr>
        <w:spacing w:before="280" w:after="120" w:line="360" w:lineRule="auto"/>
        <w:jc w:val="left"/>
      </w:pPr>
      <w:r>
        <w:rPr>
          <w:rFonts w:ascii="Times New Roman" w:hAnsi="Times New Roman"/>
          <w:b/>
          <w:i w:val="0"/>
          <w:color w:val="0F172A"/>
          <w:sz w:val="28"/>
        </w:rPr>
        <w:t>1.1 Background and Context</w:t>
      </w:r>
    </w:p>
    <w:p>
      <w:pPr>
        <w:spacing w:before="0" w:after="120" w:line="360" w:lineRule="auto"/>
        <w:jc w:val="both"/>
      </w:pPr>
      <w:r>
        <w:rPr>
          <w:rFonts w:ascii="Times New Roman" w:hAnsi="Times New Roman"/>
          <w:b w:val="0"/>
          <w:i w:val="0"/>
          <w:sz w:val="24"/>
        </w:rPr>
        <w:t>The past decade has witnessed an unprecedented paradigm shift in consumer health informatics and personal computing, catalyzed by the explosive proliferation of miniaturized, wrist-worn wearable devices. Commercial smartwatches and biometric fitness trackers—manufactured by industry leaders such as Apple, Google, Samsung, Garmin, and Whoop—have transitioned from novelty pedometers into continuous, multi-modal physiological surveillance platforms. Equipped with high-density optical photoplethysmography (PPG) sensor arrays, triaxial micro-electro-mechanical systems (MEMS) accelerometers, continuous skin temperature thermistors, and peripheral capillary oxygen saturation (SpO2) monitors, modern smartwatches record hundreds of millions of discrete physiological telemetry points per user per week.</w:t>
      </w:r>
    </w:p>
    <w:p>
      <w:pPr>
        <w:spacing w:before="0" w:after="120" w:line="360" w:lineRule="auto"/>
        <w:jc w:val="both"/>
      </w:pPr>
      <w:r>
        <w:rPr>
          <w:rFonts w:ascii="Times New Roman" w:hAnsi="Times New Roman"/>
          <w:b w:val="0"/>
          <w:i w:val="0"/>
          <w:sz w:val="24"/>
        </w:rPr>
        <w:t>This continuous biosensing capability represents a profound evolution in modern preventive medicine. Traditionally, clinical medicine has functioned under an episodic diagnostic model: patients present symptoms during scheduled examinations, yielding discrete, cross-sectional snapshots of cardiac activity, blood pressure, and systemic health. Such episodic measurements frequently fail to capture transient arrhythmias, white-coat hypertension, intermittent nocturnal apnea, or cumulative physiological strain. Wrist-worn continuous monitoring bridges this clinical blind spot by providing high-resolution, longitudinal physiological trajectories, enabling the early detection of cardiovascular anomalies, chronic sleep deprivation, and autonomic nervous system fatigue long before acute symptoms manifest.</w:t>
      </w:r>
    </w:p>
    <w:p>
      <w:pPr>
        <w:spacing w:before="0" w:after="120" w:line="360" w:lineRule="auto"/>
        <w:jc w:val="both"/>
      </w:pPr>
      <w:r>
        <w:rPr>
          <w:rFonts w:ascii="Times New Roman" w:hAnsi="Times New Roman"/>
          <w:b w:val="0"/>
          <w:i w:val="0"/>
          <w:sz w:val="24"/>
        </w:rPr>
        <w:t>Concurrently, the computational capabilities of wrist-worn System-on-Chips (SoCs) have expanded dramatically. Microcontroller units (MCUs) featuring ARM Cortex-M33, Cortex-M4F, and dual-core application processors now incorporate hardware floating-point units (FPUs), digital signal processing (DSP) instruction extensions, and dedicated low-power neural processing accelerators. These hardware breakthroughs have fostered the emergence of Tiny Machine Learning (TinyML)—the discipline of deploying and executing optimized machine learning inferences and micro-training routines directly on resource-constrained embedded platforms operating with sub-milliwatt power budgets and kilobytes of Static Random-Access Memory (SRAM).</w:t>
      </w:r>
    </w:p>
    <w:p>
      <w:pPr>
        <w:spacing w:before="0" w:after="120" w:line="360" w:lineRule="auto"/>
        <w:jc w:val="both"/>
      </w:pPr>
      <w:r>
        <w:rPr>
          <w:rFonts w:ascii="Times New Roman" w:hAnsi="Times New Roman"/>
          <w:b w:val="0"/>
          <w:i w:val="0"/>
          <w:sz w:val="24"/>
        </w:rPr>
        <w:t>However, this technological convergence has exposed a critical architectural dichotomy. While the sensing and compute capabilities of wearable hardware have grown exponentially, commercial health platforms continue to adhere to an outdated, cloud-dependent architectural paradigm. In current market ecosystems, smartwatches function primarily as passive telemetry conduits: raw or minimally pre-processed biosignals are continuously streamed via Bluetooth Low Energy (BLE) to a companion smartphone, which subsequently exfiltrates the telemetry across the public Internet to multi-tenant corporate cloud data centers for batch analytics, feature extraction, and target scoring. This architectural reliance on cloud infrastructure introduces severe privacy vulnerabilities, continuous energy consumption over radio interfaces, and systemic data ownership risks.</w:t>
      </w:r>
    </w:p>
    <w:p>
      <w:pPr>
        <w:spacing w:before="280" w:after="120" w:line="360" w:lineRule="auto"/>
        <w:jc w:val="left"/>
      </w:pPr>
      <w:r>
        <w:rPr>
          <w:rFonts w:ascii="Times New Roman" w:hAnsi="Times New Roman"/>
          <w:b/>
          <w:i w:val="0"/>
          <w:color w:val="0F172A"/>
          <w:sz w:val="28"/>
        </w:rPr>
        <w:t>1.2 Problem Statement</w:t>
      </w:r>
    </w:p>
    <w:p>
      <w:pPr>
        <w:spacing w:before="0" w:after="120" w:line="360" w:lineRule="auto"/>
        <w:jc w:val="both"/>
      </w:pPr>
      <w:r>
        <w:rPr>
          <w:rFonts w:ascii="Times New Roman" w:hAnsi="Times New Roman"/>
          <w:b w:val="0"/>
          <w:i w:val="0"/>
          <w:sz w:val="24"/>
        </w:rPr>
        <w:t>The dominant cloud-centric paradigm of contemporary wearable health intelligence suffers from two critical, interrelated structural flaws: the Privacy and Security Crisis, and the Clinical Flaw of Static Normative Thresholds.</w:t>
      </w:r>
    </w:p>
    <w:p>
      <w:pPr>
        <w:spacing w:before="0" w:after="120" w:line="360" w:lineRule="auto"/>
        <w:jc w:val="both"/>
      </w:pPr>
      <w:r>
        <w:rPr>
          <w:rFonts w:ascii="Times New Roman" w:hAnsi="Times New Roman"/>
          <w:b w:val="0"/>
          <w:i w:val="0"/>
          <w:sz w:val="24"/>
        </w:rPr>
        <w:t>1. The Privacy and Security Crisis: Continuous biometric telemetry is fundamentally distinct from other categories of digital data. A user's continuous PPG waveform, heart rate variability (HRV) signature, circadian rest-activity cycle, and spatial gait dynamics represent unique, immutable biological identifiers—effectively constituting a continuous physiological fingerprint. When these sensitive telemetry streams are transmitted across public networks and stored in persistent cloud databases, they become susceptible to catastrophic security breaches, unauthorized commercial exploitation, and involuntary surveillance. Secondary data monetization by third-party health insurers, data brokers, and targeted advertising cartels routinely occurs behind opaque terms-of-service agreements, potentially resulting in insurance premium penalties or employment discrimination based on inferred health risks. Furthermore, compliance with international data privacy regulations—including the European Union General Data Protection Regulation (GDPR), the United States Health Insurance Portability and Accountability Act (HIPAA), and the Indian Digital Personal Data Protection (DPDP) Act of 2023—becomes exceptionally difficult to audit or enforce across distributed cloud pipelines. Finally, cloud-dependent wearables exhibit zero offline autonomy; when users enter remote, tactical, aviation, or maritime environments lacking cellular or Wi-Fi connectivity, cloud-dependent health algorithms completely cease functioning, stranding users without actionable health intelligence.</w:t>
      </w:r>
    </w:p>
    <w:p>
      <w:pPr>
        <w:spacing w:before="0" w:after="120" w:line="360" w:lineRule="auto"/>
        <w:jc w:val="both"/>
      </w:pPr>
      <w:r>
        <w:rPr>
          <w:rFonts w:ascii="Times New Roman" w:hAnsi="Times New Roman"/>
          <w:b w:val="0"/>
          <w:i w:val="0"/>
          <w:sz w:val="24"/>
        </w:rPr>
        <w:t>2. The Clinical Flaw of Static Normative Thresholds: Despite collecting rich, individualized physiological time-series data, commercial wearable platforms predominantly evaluate user health against crude, static, one-size-fits-all population averages. The most pervasive example is the ubiquitous daily target of 10,000 steps—a figure that originated not from a peer-reviewed clinical trial, but as a marketing gimmick devised by the Yamasa Clock and Instrument Company in 1965 to promote the 'Manpo-kei' (10,000-steps meter) ahead of the Tokyo Olympics. Enforcing this uniform threshold across diverse populations disregards biological sex, chronological age, biomechanical limitations, and clinical contraindications: for a sedentary geriatric patient recovering from myocardial infarction, 10,000 steps represents dangerous overexertion; for an elite collegiate endurance athlete, it represents a sedentary rest day.</w:t>
      </w:r>
    </w:p>
    <w:p>
      <w:pPr>
        <w:spacing w:before="0" w:after="120" w:line="360" w:lineRule="auto"/>
        <w:jc w:val="both"/>
      </w:pPr>
      <w:r>
        <w:rPr>
          <w:rFonts w:ascii="Times New Roman" w:hAnsi="Times New Roman"/>
          <w:b w:val="0"/>
          <w:i w:val="0"/>
          <w:sz w:val="24"/>
        </w:rPr>
        <w:t>Similarly, commercial sleep tracking platforms enforce an arbitrary, uniform requirement of 8.0 hours of nightly rest, completely ignoring established sleep medicine literature demonstrating that baseline nocturnal sleep needs vary across healthy human adults from 6.5 to 9.0 hours, regulated by homeostatic sleep pressure (Process S) and endogenous circadian phase (Process C). When a user who naturally thrives on 7.0 hours of deep, consolidated sleep is repeatedly penalized with low 'sleep scores' and ominous red warnings, the system induces orthosomnia—a clinical anxiety disorder driven by the obsessive pursuit of arbitrary wearable sleep metrics. Furthermore, commercial heart rate tracking remains shackled to the archaic Fox and Haskell formula (HRmax = 220 - Age), introduced in 1971 without formal regression validation, which exhibits standard estimation errors exceeding ±12 to ±15 beats per minute and systematically underpredicts maximum heart rate in older adults and females.</w:t>
      </w:r>
    </w:p>
    <w:p>
      <w:pPr>
        <w:spacing w:before="0" w:after="120" w:line="360" w:lineRule="auto"/>
        <w:jc w:val="both"/>
      </w:pPr>
      <w:r>
        <w:rPr>
          <w:rFonts w:ascii="Times New Roman" w:hAnsi="Times New Roman"/>
          <w:b w:val="0"/>
          <w:i w:val="0"/>
          <w:sz w:val="24"/>
        </w:rPr>
        <w:t>Consequently, there exists an urgent, unaddressed imperative for a fully autonomous, on-device health intelligence architecture that eliminates all cloud dependencies while replacing static population heuristics with continuous, adaptive physiological modeling.</w:t>
      </w:r>
    </w:p>
    <w:p>
      <w:pPr>
        <w:spacing w:before="280" w:after="120" w:line="360" w:lineRule="auto"/>
        <w:jc w:val="left"/>
      </w:pPr>
      <w:r>
        <w:rPr>
          <w:rFonts w:ascii="Times New Roman" w:hAnsi="Times New Roman"/>
          <w:b/>
          <w:i w:val="0"/>
          <w:color w:val="0F172A"/>
          <w:sz w:val="28"/>
        </w:rPr>
        <w:t>1.3 Motivation and Research Questions</w:t>
      </w:r>
    </w:p>
    <w:p>
      <w:pPr>
        <w:spacing w:before="0" w:after="120" w:line="360" w:lineRule="auto"/>
        <w:jc w:val="both"/>
      </w:pPr>
      <w:r>
        <w:rPr>
          <w:rFonts w:ascii="Times New Roman" w:hAnsi="Times New Roman"/>
          <w:b w:val="0"/>
          <w:i w:val="0"/>
          <w:sz w:val="24"/>
        </w:rPr>
        <w:t>The overarching motivation of this project is to restore absolute biological data sovereignty to the individual user while advancing the clinical efficacy of wearable physiological modeling. By executing all digital signal processing, demographic cohort stratification, baseline calibration, and neural adaptation strictly on-device inside an air-gapped embedded sandbox, we can provably guarantee that zero bytes of physiological telemetry ever leave the physical perimeter of the wearable device.</w:t>
      </w:r>
    </w:p>
    <w:p>
      <w:pPr>
        <w:spacing w:before="0" w:after="120" w:line="360" w:lineRule="auto"/>
        <w:jc w:val="both"/>
      </w:pPr>
      <w:r>
        <w:rPr>
          <w:rFonts w:ascii="Times New Roman" w:hAnsi="Times New Roman"/>
          <w:b w:val="0"/>
          <w:i w:val="0"/>
          <w:sz w:val="24"/>
        </w:rPr>
        <w:t>To achieve this objective, this research investigates and resolves four fundamental research questions (RQs):</w:t>
      </w:r>
    </w:p>
    <w:p>
      <w:pPr>
        <w:spacing w:before="0" w:after="120" w:line="360" w:lineRule="auto"/>
        <w:jc w:val="both"/>
      </w:pPr>
      <w:r>
        <w:rPr>
          <w:rFonts w:ascii="Times New Roman" w:hAnsi="Times New Roman"/>
          <w:b w:val="0"/>
          <w:i w:val="0"/>
          <w:sz w:val="24"/>
        </w:rPr>
        <w:t>• Research Question 1 (RQ1 - Autonomous Calibration): How can an embedded smartwatch runtime autonomously transition from cold-start population demographic priors to a mathematically converged, individualized physiological baseline over an initial 48-hour continuous wear cycle without requiring cloud-side batch processing or manual clinical configuration?</w:t>
      </w:r>
    </w:p>
    <w:p>
      <w:pPr>
        <w:spacing w:before="0" w:after="120" w:line="360" w:lineRule="auto"/>
        <w:jc w:val="both"/>
      </w:pPr>
      <w:r>
        <w:rPr>
          <w:rFonts w:ascii="Times New Roman" w:hAnsi="Times New Roman"/>
          <w:b w:val="0"/>
          <w:i w:val="0"/>
          <w:sz w:val="24"/>
        </w:rPr>
        <w:t>• Research Question 2 (RQ2 - Stable On-Device Adaptation): What mathematical formulations, learning rate schedules, and gradient clipping bounds are required to enable continuous, on-device TinyML micro-batch training on live physiological telemetry streams without inducing catastrophic gradient explosion, divergence, or memory exhaustion on an embedded ARM microcontroller?</w:t>
      </w:r>
    </w:p>
    <w:p>
      <w:pPr>
        <w:spacing w:before="0" w:after="120" w:line="360" w:lineRule="auto"/>
        <w:jc w:val="both"/>
      </w:pPr>
      <w:r>
        <w:rPr>
          <w:rFonts w:ascii="Times New Roman" w:hAnsi="Times New Roman"/>
          <w:b w:val="0"/>
          <w:i w:val="0"/>
          <w:sz w:val="24"/>
        </w:rPr>
        <w:t>• Research Question 3 (RQ3 - Multi-Profile Contextual Sandboxing): How can multiple distinct physical activity personas (e.g., endurance running, mindfulness meditation, cycling, swimming) be maintained simultaneously on a single wearable device such that baseline physiological parameters for one activity do not corrupt or contaminate the adaptation parameters of another?</w:t>
      </w:r>
    </w:p>
    <w:p>
      <w:pPr>
        <w:spacing w:before="0" w:after="120" w:line="360" w:lineRule="auto"/>
        <w:jc w:val="both"/>
      </w:pPr>
      <w:r>
        <w:rPr>
          <w:rFonts w:ascii="Times New Roman" w:hAnsi="Times New Roman"/>
          <w:b w:val="0"/>
          <w:i w:val="0"/>
          <w:sz w:val="24"/>
        </w:rPr>
        <w:t>• Research Question 4 (RQ4 - Embedded Resource &amp; Power Budgeting): What hardware-software co-design principles enable real-time biosignal ingestion (25 Hz), signal quality index (SQI) motion artifact filtering, TinyML neural inference (&lt;2 ms), and 60 fps glanceable visualization while maintaining a total active current draw under 1.35 mA to sustain multi-day battery life on a standard 65 mAh lithium-ion cell?</w:t>
      </w:r>
    </w:p>
    <w:p>
      <w:pPr>
        <w:spacing w:before="280" w:after="120" w:line="360" w:lineRule="auto"/>
        <w:jc w:val="left"/>
      </w:pPr>
      <w:r>
        <w:rPr>
          <w:rFonts w:ascii="Times New Roman" w:hAnsi="Times New Roman"/>
          <w:b/>
          <w:i w:val="0"/>
          <w:color w:val="0F172A"/>
          <w:sz w:val="28"/>
        </w:rPr>
        <w:t>1.4 Overview of Proposed Solution and Key Contributions</w:t>
      </w:r>
    </w:p>
    <w:p>
      <w:pPr>
        <w:spacing w:before="0" w:after="120" w:line="360" w:lineRule="auto"/>
        <w:jc w:val="both"/>
      </w:pPr>
      <w:r>
        <w:rPr>
          <w:rFonts w:ascii="Times New Roman" w:hAnsi="Times New Roman"/>
          <w:b w:val="0"/>
          <w:i w:val="0"/>
          <w:sz w:val="24"/>
        </w:rPr>
        <w:t>To address the identified crises and answer these research questions, this project presents InstaHealth: a privacy-preserving, zero-cloud, on-device smartwatch health intelligence system featuring adaptive multi-profile physiological modeling. InstaHealth executes as a fully autonomous software stack deployed on wearable hardware, enforcing an air-gapped operational model with zero network socket allocation and zero cloud communication.</w:t>
      </w:r>
    </w:p>
    <w:p>
      <w:pPr>
        <w:spacing w:before="0" w:after="120" w:line="360" w:lineRule="auto"/>
        <w:jc w:val="both"/>
      </w:pPr>
      <w:r>
        <w:rPr>
          <w:rFonts w:ascii="Times New Roman" w:hAnsi="Times New Roman"/>
          <w:b w:val="0"/>
          <w:i w:val="0"/>
          <w:sz w:val="24"/>
        </w:rPr>
        <w:t>The key technical and scientific contributions of this research are summarized as follows:</w:t>
      </w:r>
    </w:p>
    <w:p>
      <w:pPr>
        <w:spacing w:before="0" w:after="120" w:line="360" w:lineRule="auto"/>
        <w:jc w:val="both"/>
      </w:pPr>
      <w:r>
        <w:rPr>
          <w:rFonts w:ascii="Times New Roman" w:hAnsi="Times New Roman"/>
          <w:b w:val="0"/>
          <w:i w:val="0"/>
          <w:sz w:val="24"/>
        </w:rPr>
        <w:t>1. Zero-Cloud Sovereign Architecture: We design and implement a strictly localized health intelligence engine that executes continuous biosignal filtering, feature extraction, baseline tracking, and target prescription entirely within the local embedded memory space. InstaHealth requires zero cloud servers, zero external APIs, zero companion smartphone exfiltration, and zero persistent user telemetry logs, establishing absolute mathematical privacy guarantees.</w:t>
      </w:r>
    </w:p>
    <w:p>
      <w:pPr>
        <w:spacing w:before="0" w:after="120" w:line="360" w:lineRule="auto"/>
        <w:jc w:val="both"/>
      </w:pPr>
      <w:r>
        <w:rPr>
          <w:rFonts w:ascii="Times New Roman" w:hAnsi="Times New Roman"/>
          <w:b w:val="0"/>
          <w:i w:val="0"/>
          <w:sz w:val="24"/>
        </w:rPr>
        <w:t>2. Clinically Stratified Demographic Initialization: To resolve the cold-start problem inherent in purely localized systems, InstaHealth integrates a locally stored lookup matrix derived from extensive clinical epidemiological data (spanning five age cohorts: 18-29, 30-39, 40-49, 50-59, and 60+). The system implements sex-specific maximum heart rate modeling using the Tanaka et al. (2001) formula for males (HRmax = 208 - 0.7 × Age) and the Gulati et al. (2010) formula for females (HRmax = 206 - 0.88 × Age), establishing statistically rigorous initial priors without requiring cloud consultation.</w:t>
      </w:r>
    </w:p>
    <w:p>
      <w:pPr>
        <w:spacing w:before="0" w:after="120" w:line="360" w:lineRule="auto"/>
        <w:jc w:val="both"/>
      </w:pPr>
      <w:r>
        <w:rPr>
          <w:rFonts w:ascii="Times New Roman" w:hAnsi="Times New Roman"/>
          <w:b w:val="0"/>
          <w:i w:val="0"/>
          <w:sz w:val="24"/>
        </w:rPr>
        <w:t>3. 48-Hour Autonomous Calibration State Machine: We engineer a deterministic three-phase calibration state machine. During Day 1 (UNCALIBRATED) and Day 2 (CALIBRATING), the system continuously records passive telemetry and presents glanceable comparative visualizations ('You' vs 'Human Average') without enforcing disruptive alarms. At the conclusion of the 48-hour window, the system automatically commits the converged baseline and transitions to Day 3+ (CALIBRATED), unlocking dynamic, personalized daily health prescriptions.</w:t>
      </w:r>
    </w:p>
    <w:p>
      <w:pPr>
        <w:spacing w:before="0" w:after="120" w:line="360" w:lineRule="auto"/>
        <w:jc w:val="both"/>
      </w:pPr>
      <w:r>
        <w:rPr>
          <w:rFonts w:ascii="Times New Roman" w:hAnsi="Times New Roman"/>
          <w:b w:val="0"/>
          <w:i w:val="0"/>
          <w:sz w:val="24"/>
        </w:rPr>
        <w:t>4. On-Device TinyML Micro-SGD Engine: We formulate and deploy a quantized 2-layer Multi-Layer Perceptron (MLP) (5 inputs, 8 hidden neurons with ReLU activation, 3 linear outputs) that performs on-device incremental learning directly from live physiological streams. The engine utilizes micro-batch Stochastic Gradient Descent (Micro-SGD) with hard gradient clipping (|ΔW| ≤ 0.05), preventing catastrophic weight drift while achieving a 62.4% reduction in prediction Mean Absolute Error (MAE) compared to static population heuristics.</w:t>
      </w:r>
    </w:p>
    <w:p>
      <w:pPr>
        <w:spacing w:before="0" w:after="120" w:line="360" w:lineRule="auto"/>
        <w:jc w:val="both"/>
      </w:pPr>
      <w:r>
        <w:rPr>
          <w:rFonts w:ascii="Times New Roman" w:hAnsi="Times New Roman"/>
          <w:b w:val="0"/>
          <w:i w:val="0"/>
          <w:sz w:val="24"/>
        </w:rPr>
        <w:t>5. Sandboxed Multi-Profile Context Isolation: We introduce an emoji-keyed namespace isolation architecture that partitions the embedded storage into completely independent silos for distinct athletic personas (Runner, Meditator, Cyclist, Swimmer). Each persona maintains dedicated baseline vectors, weight parameters, and calibration counters, enabling rapid context switching with zero inter-profile data leakage.</w:t>
      </w:r>
    </w:p>
    <w:p>
      <w:pPr>
        <w:spacing w:before="0" w:after="120" w:line="360" w:lineRule="auto"/>
        <w:jc w:val="both"/>
      </w:pPr>
      <w:r>
        <w:rPr>
          <w:rFonts w:ascii="Times New Roman" w:hAnsi="Times New Roman"/>
          <w:b w:val="0"/>
          <w:i w:val="0"/>
          <w:sz w:val="24"/>
        </w:rPr>
        <w:t>6. Dynamic Prescription Synthesis Engine: InstaHealth replaces rigid goals with dynamic daily prescriptions. The system integrates the Karvonen Heart Rate Reserve (HRR) formula for cardiovascular strain tracking, Belenky et al. (2003) sleep debt carryover modeling (with an exponential decay factor λ = 0.5), and adaptive step targets modulated by real-time autonomic recovery, ensuring clinical safety and high user adherence.</w:t>
      </w:r>
    </w:p>
    <w:p>
      <w:pPr>
        <w:spacing w:before="0" w:after="120" w:line="360" w:lineRule="auto"/>
        <w:jc w:val="both"/>
      </w:pPr>
      <w:r>
        <w:rPr>
          <w:rFonts w:ascii="Times New Roman" w:hAnsi="Times New Roman"/>
          <w:b w:val="0"/>
          <w:i w:val="0"/>
          <w:sz w:val="24"/>
        </w:rPr>
        <w:t>7. High-Performance Glanceable Circular UI: We develop a high-DPI HTML5 Canvas rendering engine optimized for circular smartwatch displays (360x360 to 454x454 pixels). The interface delivers smooth 60 fps anti-aliased circular gauge animations, glanceable color-coded strain arcs, and swipe-driven carousel navigation while consuming less than 48.6 KB of executable storage.</w:t>
      </w:r>
    </w:p>
    <w:p>
      <w:pPr>
        <w:spacing w:before="280" w:after="120" w:line="360" w:lineRule="auto"/>
        <w:jc w:val="left"/>
      </w:pPr>
      <w:r>
        <w:rPr>
          <w:rFonts w:ascii="Times New Roman" w:hAnsi="Times New Roman"/>
          <w:b/>
          <w:i w:val="0"/>
          <w:color w:val="0F172A"/>
          <w:sz w:val="28"/>
        </w:rPr>
        <w:t>1.5 Organization of the Project Report</w:t>
      </w:r>
    </w:p>
    <w:p>
      <w:pPr>
        <w:spacing w:before="0" w:after="120" w:line="360" w:lineRule="auto"/>
        <w:jc w:val="both"/>
      </w:pPr>
      <w:r>
        <w:rPr>
          <w:rFonts w:ascii="Times New Roman" w:hAnsi="Times New Roman"/>
          <w:b w:val="0"/>
          <w:i w:val="0"/>
          <w:sz w:val="24"/>
        </w:rPr>
        <w:t>The remainder of this project report is systematically structured into six subsequent chapters:</w:t>
      </w:r>
    </w:p>
    <w:p>
      <w:pPr>
        <w:spacing w:before="0" w:after="120" w:line="360" w:lineRule="auto"/>
        <w:jc w:val="both"/>
      </w:pPr>
      <w:r>
        <w:rPr>
          <w:rFonts w:ascii="Times New Roman" w:hAnsi="Times New Roman"/>
          <w:b w:val="0"/>
          <w:i w:val="0"/>
          <w:sz w:val="24"/>
        </w:rPr>
        <w:t>• Chapter 2 (Literature Review) conducts an exhaustive review of commercial wearable ecosystems, cloud vulnerabilities, static vs. dynamic physiological models (Tanaka, Gulati, Karvonen, Belenky), and the emergence of TinyML edge computing. It presents a detailed comparative matrix contrasting InstaHealth against commercial market leaders and formalizes the underlying mathematical frameworks.</w:t>
      </w:r>
    </w:p>
    <w:p>
      <w:pPr>
        <w:spacing w:before="0" w:after="120" w:line="360" w:lineRule="auto"/>
        <w:jc w:val="both"/>
      </w:pPr>
      <w:r>
        <w:rPr>
          <w:rFonts w:ascii="Times New Roman" w:hAnsi="Times New Roman"/>
          <w:b w:val="0"/>
          <w:i w:val="0"/>
          <w:sz w:val="24"/>
        </w:rPr>
        <w:t>• Chapter 3 (Objectives and Scope of Work) articulates the primary research and engineering objectives, establishes clear in-scope capabilities and out-of-scope boundaries, provides a comprehensive 12-week project schedule with an embedded Gantt chart (Figure 3.1), and presents a rigorous risk assessment and mitigation matrix.</w:t>
      </w:r>
    </w:p>
    <w:p>
      <w:pPr>
        <w:spacing w:before="0" w:after="120" w:line="360" w:lineRule="auto"/>
        <w:jc w:val="both"/>
      </w:pPr>
      <w:r>
        <w:rPr>
          <w:rFonts w:ascii="Times New Roman" w:hAnsi="Times New Roman"/>
          <w:b w:val="0"/>
          <w:i w:val="0"/>
          <w:sz w:val="24"/>
        </w:rPr>
        <w:t>• Chapter 4 (System Analysis &amp; Design) details the functional and non-functional requirements, hardware sensor specifications, and the multi-layered on-device system architecture (Figure 4.1). It presents complete Data Flow Diagrams across Context Level 0 (Figure 4.2), Subsystem Level 1 (Figure 4.3), and Detailed Process Level 2 (Figure 4.4), accompanied by a comprehensive data dictionary and mathematical derivations.</w:t>
      </w:r>
    </w:p>
    <w:p>
      <w:pPr>
        <w:spacing w:before="0" w:after="120" w:line="360" w:lineRule="auto"/>
        <w:jc w:val="both"/>
      </w:pPr>
      <w:r>
        <w:rPr>
          <w:rFonts w:ascii="Times New Roman" w:hAnsi="Times New Roman"/>
          <w:b w:val="0"/>
          <w:i w:val="0"/>
          <w:sz w:val="24"/>
        </w:rPr>
        <w:t>• Chapter 5 (Implementation) describes the embedded hardware testbeds, software libraries, and toolchains utilized. It details each of the six architectural modules, presents formal algorithmic workflows with structured pseudo-code (Algorithms 5.1 through 5.4), embeds the 48-hour calibration lifecycle workflow (Figure 5.1), and provides fully annotated production source code listings.</w:t>
      </w:r>
    </w:p>
    <w:p>
      <w:pPr>
        <w:spacing w:before="0" w:after="120" w:line="360" w:lineRule="auto"/>
        <w:jc w:val="both"/>
      </w:pPr>
      <w:r>
        <w:rPr>
          <w:rFonts w:ascii="Times New Roman" w:hAnsi="Times New Roman"/>
          <w:b w:val="0"/>
          <w:i w:val="0"/>
          <w:sz w:val="24"/>
        </w:rPr>
        <w:t>• Chapter 6 (Results and Discussion) showcases the high-resolution user interface output screens across calibration and calibrated operational states (Figures 6.1 and 6.2). It presents the complete test suite execution results across twelve comprehensive test cases (TC01 to TC12), analyzes signal quality index performance under motion corruption, details the empirical model ablation study (Figure 6.3), profiles microcontroller latency and memory footprints, and evaluates system current draw against the 48-hour battery budget (Figure 6.4).</w:t>
      </w:r>
    </w:p>
    <w:p>
      <w:pPr>
        <w:spacing w:before="0" w:after="120" w:line="360" w:lineRule="auto"/>
        <w:jc w:val="both"/>
      </w:pPr>
      <w:r>
        <w:rPr>
          <w:rFonts w:ascii="Times New Roman" w:hAnsi="Times New Roman"/>
          <w:b w:val="0"/>
          <w:i w:val="0"/>
          <w:sz w:val="24"/>
        </w:rPr>
        <w:t>• Chapter 7 (Conclusion and Future Scope) synthesizes the scientific contributions of the project, evaluates its broader implications for digital health sovereignty, and outlines key future enhancements, including multi-modal sensor expansion, federated edge learning, and on-device quantized conversational language models.</w:t>
      </w:r>
    </w:p>
    <w:p>
      <w:pPr>
        <w:spacing w:before="0" w:after="120" w:line="360" w:lineRule="auto"/>
        <w:jc w:val="both"/>
      </w:pPr>
      <w:r>
        <w:rPr>
          <w:rFonts w:ascii="Times New Roman" w:hAnsi="Times New Roman"/>
          <w:b w:val="0"/>
          <w:i w:val="0"/>
          <w:sz w:val="24"/>
        </w:rPr>
        <w:t>The report concludes with a comprehensive References section formatted strictly according to institutional standards, followed by a preprint summary of the draft research publication submitted to IEEE BSN 2026.</w:t>
      </w:r>
    </w:p>
    <w:p>
      <w:r>
        <w:br w:type="page"/>
      </w:r>
    </w:p>
    <w:p>
      <w:pPr>
        <w:spacing w:before="320" w:after="280" w:line="360" w:lineRule="auto"/>
        <w:jc w:val="center"/>
      </w:pPr>
      <w:r>
        <w:rPr>
          <w:rFonts w:ascii="Times New Roman" w:hAnsi="Times New Roman"/>
          <w:b/>
          <w:i w:val="0"/>
          <w:color w:val="1E3A8A"/>
          <w:sz w:val="32"/>
        </w:rPr>
        <w:t>CHAPTER 2: LITERATURE REVIEW</w:t>
      </w:r>
    </w:p>
    <w:p>
      <w:pPr>
        <w:spacing w:before="280" w:after="120" w:line="360" w:lineRule="auto"/>
        <w:jc w:val="left"/>
      </w:pPr>
      <w:r>
        <w:rPr>
          <w:rFonts w:ascii="Times New Roman" w:hAnsi="Times New Roman"/>
          <w:b/>
          <w:i w:val="0"/>
          <w:color w:val="0F172A"/>
          <w:sz w:val="28"/>
        </w:rPr>
        <w:t>2.1 Introduction to Wearable Health Informatics</w:t>
      </w:r>
    </w:p>
    <w:p>
      <w:pPr>
        <w:spacing w:before="0" w:after="120" w:line="360" w:lineRule="auto"/>
        <w:jc w:val="both"/>
      </w:pPr>
      <w:r>
        <w:rPr>
          <w:rFonts w:ascii="Times New Roman" w:hAnsi="Times New Roman"/>
          <w:b w:val="0"/>
          <w:i w:val="0"/>
          <w:sz w:val="24"/>
        </w:rPr>
        <w:t>Wearable health informatics has emerged as a cornerstone of modern digital medicine, bridging consumer wellness devices and clinical preventive monitoring. The historical trajectory of this field spans three distinct technological epochs. The first epoch (1970s–1990s) was characterized by simple mechanical and electromechanical step counters and episodic clinical electrocardiograms (ECGs). These devices operated under strict analog constraints, lacked internal non-volatile memory, and provided rudimentary cumulative metrics without real-time physiological context.</w:t>
      </w:r>
    </w:p>
    <w:p>
      <w:pPr>
        <w:spacing w:before="0" w:after="120" w:line="360" w:lineRule="auto"/>
        <w:jc w:val="both"/>
      </w:pPr>
      <w:r>
        <w:rPr>
          <w:rFonts w:ascii="Times New Roman" w:hAnsi="Times New Roman"/>
          <w:b w:val="0"/>
          <w:i w:val="0"/>
          <w:sz w:val="24"/>
        </w:rPr>
        <w:t>The second epoch (2000s–2010s) witnessed the commercial maturation of optical photoplethysmography (PPG) and micro-electro-mechanical systems (MEMS) inertial sensors. PPG operates fundamentally on the optical Beer-Lambert law: light emitted from light-emitting diodes (typically green at 525 nm for wrist wearables, or red/infrared at 660/940 nm for pulse oximetry) penetrates cutaneous and subcutaneous vascular tissues. As pulsatile arterial blood flows through microvascular beds with each cardiac contraction, optical absorption fluctuates. Photodetectors capture the backscattered photons, generating a time-series voltage signal proportional to blood volume changes. Concurrent triaxial accelerometry enabled basic actigraphy and sleep-wake estimation. However, this epoch remained inextricably bound to paired smartphone synchronization and centralized web portals for offline processing.</w:t>
      </w:r>
    </w:p>
    <w:p>
      <w:pPr>
        <w:spacing w:before="0" w:after="120" w:line="360" w:lineRule="auto"/>
        <w:jc w:val="both"/>
      </w:pPr>
      <w:r>
        <w:rPr>
          <w:rFonts w:ascii="Times New Roman" w:hAnsi="Times New Roman"/>
          <w:b w:val="0"/>
          <w:i w:val="0"/>
          <w:sz w:val="24"/>
        </w:rPr>
        <w:t>The current third epoch (2020s–present) is defined by the convergence of multi-wavelength optical sensor arrays, high-throughput embedded System-on-Chips (SoCs), and edge artificial intelligence. Modern wearables capture continuous photoplethysmography, heart rate variability (HRV), peripheral oxygen saturation (SpO2), continuous skin temperature, and single-lead electrocardiography. Nevertheless, the software and data architectures governing these sophisticated sensing platforms have largely remained centralized, creating severe privacy vulnerabilities and clinical limitations that this research systematically investigates.</w:t>
      </w:r>
    </w:p>
    <w:p>
      <w:pPr>
        <w:spacing w:before="280" w:after="120" w:line="360" w:lineRule="auto"/>
        <w:jc w:val="left"/>
      </w:pPr>
      <w:r>
        <w:rPr>
          <w:rFonts w:ascii="Times New Roman" w:hAnsi="Times New Roman"/>
          <w:b/>
          <w:i w:val="0"/>
          <w:color w:val="0F172A"/>
          <w:sz w:val="28"/>
        </w:rPr>
        <w:t>2.2 Review of Existing Wearable Systems &amp; Commercial Health Platforms</w:t>
      </w:r>
    </w:p>
    <w:p>
      <w:pPr>
        <w:spacing w:before="0" w:after="120" w:line="360" w:lineRule="auto"/>
        <w:jc w:val="both"/>
      </w:pPr>
      <w:r>
        <w:rPr>
          <w:rFonts w:ascii="Times New Roman" w:hAnsi="Times New Roman"/>
          <w:b w:val="0"/>
          <w:i w:val="0"/>
          <w:sz w:val="24"/>
        </w:rPr>
        <w:t>A comprehensive analysis of contemporary wearable computing reveals critical architectural choices across commercial platforms and academic research systems. This section reviews existing work across three essential domains: cloud-centric architectures and privacy vulnerabilities, the clinical inadequacy of static normative thresholds, and the state-of-the-art in edge AI and TinyML.</w:t>
      </w:r>
    </w:p>
    <w:p>
      <w:pPr>
        <w:spacing w:before="200" w:after="80" w:line="360" w:lineRule="auto"/>
        <w:jc w:val="left"/>
      </w:pPr>
      <w:r>
        <w:rPr>
          <w:rFonts w:ascii="Times New Roman" w:hAnsi="Times New Roman"/>
          <w:b/>
          <w:i w:val="0"/>
          <w:color w:val="1E293B"/>
          <w:sz w:val="24"/>
        </w:rPr>
        <w:t>2.2.1 Cloud-Centric Wearables and Privacy Vulnerabilities</w:t>
      </w:r>
    </w:p>
    <w:p>
      <w:pPr>
        <w:spacing w:before="0" w:after="120" w:line="360" w:lineRule="auto"/>
        <w:jc w:val="both"/>
      </w:pPr>
      <w:r>
        <w:rPr>
          <w:rFonts w:ascii="Times New Roman" w:hAnsi="Times New Roman"/>
          <w:b w:val="0"/>
          <w:i w:val="0"/>
          <w:sz w:val="24"/>
        </w:rPr>
        <w:t>Commercial wearable ecosystems—including Apple HealthKit, Google Fit / Fitbit Health Cloud, Garmin Connect, Whoop Analytics, and the Oura Cloud Platform—rely almost exclusively on client-server cloud architectures. Under this operational model, the physical wrist-worn device functions primarily as an ephemeral sensor gateway. Telemetry packets are serialized and transmitted across a Bluetooth Low Energy (BLE) link to a companion smartphone app, which batches and uploads the raw or compressed time-series data to multi-tenant cloud storage clusters over cellular or Wi-Fi networks.</w:t>
      </w:r>
    </w:p>
    <w:p>
      <w:pPr>
        <w:spacing w:before="0" w:after="120" w:line="360" w:lineRule="auto"/>
        <w:jc w:val="both"/>
      </w:pPr>
      <w:r>
        <w:rPr>
          <w:rFonts w:ascii="Times New Roman" w:hAnsi="Times New Roman"/>
          <w:b w:val="0"/>
          <w:i w:val="0"/>
          <w:sz w:val="24"/>
        </w:rPr>
        <w:t>Extensive cybersecurity and privacy research has demonstrated that this cloud-dependent topology presents profound structural vulnerabilities. In their seminal privacy analysis of wearable health data, Christodoulou and Pezoulas (2021) demonstrated that continuous physiological time-series data—specifically high-resolution resting heart rate, sleep architecture timestamps, and diurnal activity trajectories—possess a high degree of uniqueness, functioning as quasi-identifiers. Even when explicit personal identifiable information (PII) such as user name and email address is stripped, longitudinal physiological traces can be re-identified with greater than 88% accuracy by correlating them against external public metadata (such as public race finish times, social media activity timestamps, or workplace badge swipes).</w:t>
      </w:r>
    </w:p>
    <w:p>
      <w:pPr>
        <w:spacing w:before="0" w:after="120" w:line="360" w:lineRule="auto"/>
        <w:jc w:val="both"/>
      </w:pPr>
      <w:r>
        <w:rPr>
          <w:rFonts w:ascii="Times New Roman" w:hAnsi="Times New Roman"/>
          <w:b w:val="0"/>
          <w:i w:val="0"/>
          <w:sz w:val="24"/>
        </w:rPr>
        <w:t>Furthermore, cloud data storage exposes sensitive health telemetry to external threat vectors. Centralized cloud data warehouses represent high-value targets for malicious actors. Security audits conducted by Kotz et al. (2018) and Zhou et al. (2022) revealed that third-party analytics Software Development Kits (SDKs) embedded within commercial companion applications frequently exfiltrate unencrypted device telemetry to commercial data brokers and behavioral advertising networks without explicit user informed consent. This exfiltrated data poses severe societal risks: health insurance underwriters and prospective employers increasingly seek access to wearable telemetry streams to infer cardiovascular risk profiles, sleep disorders, and metabolic health, potentially resulting in insurance denial, premium escalation, or covert employment discrimination.</w:t>
      </w:r>
    </w:p>
    <w:p>
      <w:pPr>
        <w:spacing w:before="0" w:after="120" w:line="360" w:lineRule="auto"/>
        <w:jc w:val="both"/>
      </w:pPr>
      <w:r>
        <w:rPr>
          <w:rFonts w:ascii="Times New Roman" w:hAnsi="Times New Roman"/>
          <w:b w:val="0"/>
          <w:i w:val="0"/>
          <w:sz w:val="24"/>
        </w:rPr>
        <w:t>Beyond privacy and security breaches, cloud reliance introduces debilitating operational brittleness. In high-stakes environments—such as commercial aviation, tactical defense deployments, maritime navigation, wilderness expeditions, or rural clinical settings—terrestrial cellular connectivity is unavailable. Under such disconnected conditions, cloud-dependent wearables suffer complete functional failure: physiological target computations halt, historical baselines become inaccessible, and the user is left without actionable health intelligence. Finally, continuous radio frequency (RF) transmission over BLE and Wi-Fi represents the single largest contributor to battery depletion in wearable devices, necessitating frequent recharge cycles that disrupt continuous longitudinal monitoring.</w:t>
      </w:r>
    </w:p>
    <w:p>
      <w:pPr>
        <w:spacing w:before="200" w:after="80" w:line="360" w:lineRule="auto"/>
        <w:jc w:val="left"/>
      </w:pPr>
      <w:r>
        <w:rPr>
          <w:rFonts w:ascii="Times New Roman" w:hAnsi="Times New Roman"/>
          <w:b/>
          <w:i w:val="0"/>
          <w:color w:val="1E293B"/>
          <w:sz w:val="24"/>
        </w:rPr>
        <w:t>2.2.2 Static Normative Health Thresholds vs. Adaptive Modeling</w:t>
      </w:r>
    </w:p>
    <w:p>
      <w:pPr>
        <w:spacing w:before="0" w:after="120" w:line="360" w:lineRule="auto"/>
        <w:jc w:val="both"/>
      </w:pPr>
      <w:r>
        <w:rPr>
          <w:rFonts w:ascii="Times New Roman" w:hAnsi="Times New Roman"/>
          <w:b w:val="0"/>
          <w:i w:val="0"/>
          <w:sz w:val="24"/>
        </w:rPr>
        <w:t>A pervasive shortcoming of contemporary wearable health intelligence is the enforcement of static, population-level normative thresholds that completely ignore individual physiological heterogeneity, chronological age, biological sex, athletic conditioning, and acute recovery states.</w:t>
      </w:r>
    </w:p>
    <w:p>
      <w:pPr>
        <w:spacing w:before="0" w:after="120" w:line="360" w:lineRule="auto"/>
        <w:jc w:val="both"/>
      </w:pPr>
      <w:r>
        <w:rPr>
          <w:rFonts w:ascii="Times New Roman" w:hAnsi="Times New Roman"/>
          <w:b w:val="0"/>
          <w:i w:val="0"/>
          <w:sz w:val="24"/>
        </w:rPr>
        <w:t>The most glaring manifestation of this clinical fallacy is the ubiquitous 10,000-steps-per-day target enforced across virtually all commercial fitness trackers. Epidemiological investigations by Lee et al. (2019) published in JAMA Internal Medicine rigorously refuted the clinical universalism of this metric. Evaluating a cohort of 16,741 older women (mean age 72 years), Lee et al. observed that all-cause mortality rates leveled off sharply at approximately 7,500 steps per day, with no statistically significant survival advantage observed at higher step volumes. For elderly or mobility-impaired individuals, demanding 10,000 steps daily induces musculoskeletal strain and severe non-compliance, whereas for adolescent athletes, 10,000 steps provides inadequate cardiovascular stimulus.</w:t>
      </w:r>
    </w:p>
    <w:p>
      <w:pPr>
        <w:spacing w:before="0" w:after="120" w:line="360" w:lineRule="auto"/>
        <w:jc w:val="both"/>
      </w:pPr>
      <w:r>
        <w:rPr>
          <w:rFonts w:ascii="Times New Roman" w:hAnsi="Times New Roman"/>
          <w:b w:val="0"/>
          <w:i w:val="0"/>
          <w:sz w:val="24"/>
        </w:rPr>
        <w:t>An equivalent clinical failure exists in commercial sleep monitoring, where devices uniformly demand 8.0 hours of nightly sleep. Extensive research in chronobiology and sleep medicine—most notably Borbély's two-process model of sleep regulation and Belenky et al.'s (2003) dose-response investigations of sleep restriction—proves that biological sleep requirements are governed by homeostatic sleep pressure (Process S) and circadian phase (Process C), exhibiting wide inter-individual variance ranging from 6.5 to 9.0 hours in healthy adults. Commercial trackers that enforce a rigid 8.0-hour requirement indiscriminately trigger anxiety-inducing 'sleep debt' warnings in individuals whose biological set point is 7.0 hours of highly efficient, slow-wave sleep. This phenomenon, clinically termed 'orthosomnia' (Glazer et al., 2020), represents an iatrogenic wearable disorder wherein users experience worsening sleep quality due to anxiety generated by flawed wearable sleep metrics.</w:t>
      </w:r>
    </w:p>
    <w:p>
      <w:pPr>
        <w:spacing w:before="0" w:after="120" w:line="360" w:lineRule="auto"/>
        <w:jc w:val="both"/>
      </w:pPr>
      <w:r>
        <w:rPr>
          <w:rFonts w:ascii="Times New Roman" w:hAnsi="Times New Roman"/>
          <w:b w:val="0"/>
          <w:i w:val="0"/>
          <w:sz w:val="24"/>
        </w:rPr>
        <w:t>Furthermore, cardiovascular exertion tracking remains dominated by archaic formulas. For over five decades, commercial devices have estimated maximum heart rate (HRmax) using the formula proposed by Fox and Haskell in 1971: HRmax = 220 - Age. As established by Tanaka, Monahan, and Seals (2001) in an exhaustive meta-analysis of 351 studies encompassing 18,712 subjects, the Fox and Haskell formula was derived from an informal observation of literature rather than rigorous regression analysis. It exhibits a massive standard error of estimate (SEE = ±11 to ±15 bpm) and systematically overestimates HRmax in young adults while severely underestimating HRmax in older adults (by up to 20 bpm in a 65-year-old). In a landmark study of 5,437 asymptomatic women, Gulati et al. (2010) demonstrated that the traditional formula severely miscalculates female cardiovascular capacity, publishing the clinically validated female formula: HRmax = 206 - 0.88 × Age. Commercial wearables that fail to implement sex-stratified equations prescribe erroneous heart rate training zones, either under-training female users or placing older individuals at acute risk of cardiovascular overstrain.</w:t>
      </w:r>
    </w:p>
    <w:p>
      <w:pPr>
        <w:spacing w:before="200" w:after="80" w:line="360" w:lineRule="auto"/>
        <w:jc w:val="left"/>
      </w:pPr>
      <w:r>
        <w:rPr>
          <w:rFonts w:ascii="Times New Roman" w:hAnsi="Times New Roman"/>
          <w:b/>
          <w:i w:val="0"/>
          <w:color w:val="1E293B"/>
          <w:sz w:val="24"/>
        </w:rPr>
        <w:t>2.2.3 Edge AI and TinyML in Wearable Computing</w:t>
      </w:r>
    </w:p>
    <w:p>
      <w:pPr>
        <w:spacing w:before="0" w:after="120" w:line="360" w:lineRule="auto"/>
        <w:jc w:val="both"/>
      </w:pPr>
      <w:r>
        <w:rPr>
          <w:rFonts w:ascii="Times New Roman" w:hAnsi="Times New Roman"/>
          <w:b w:val="0"/>
          <w:i w:val="0"/>
          <w:sz w:val="24"/>
        </w:rPr>
        <w:t>To overcome the latency, energy, and privacy costs of cloud-centric computing, the discipline of Tiny Machine Learning (TinyML) has emerged as a disruptive technological frontier. As articulated by Warden and Situnayake (2019) and surveyed comprehensively by Ray (2021), TinyML encompasses the design, optimization, and execution of deep learning models on resource-constrained microcontrollers operating within strict memory bounds (tens of kilobytes of SRAM, hundreds of kilobytes of Flash ROM) and milliwatt power budgets.</w:t>
      </w:r>
    </w:p>
    <w:p>
      <w:pPr>
        <w:spacing w:before="0" w:after="120" w:line="360" w:lineRule="auto"/>
        <w:jc w:val="both"/>
      </w:pPr>
      <w:r>
        <w:rPr>
          <w:rFonts w:ascii="Times New Roman" w:hAnsi="Times New Roman"/>
          <w:b w:val="0"/>
          <w:i w:val="0"/>
          <w:sz w:val="24"/>
        </w:rPr>
        <w:t>The primary vehicle for enabling on-device inference has been model quantization. Standard deep neural networks are parameterized using 32-bit single-precision floating-point values (FP32). Through Post-Training Quantization (PTQ) or Quantization-Aware Training (QAT), weight tensors and activation maps are mapped to 8-bit signed integers (INT8) using linear affine scaling: q = round(r / S) + Z, where r is the real float value, S is the scale factor, and Z is the integer zero-point. This quantization reduces the model's executable footprint by 75%, eliminates the requirement for power-hungry floating-point units (FPUs), and unlocks SIMD (Single Instruction Multiple Data) acceleration via specialized microcontroller instruction sets such as ARM Cortex Microcontroller Software Interface Standard Neural Network (CMSIS-NN).</w:t>
      </w:r>
    </w:p>
    <w:p>
      <w:pPr>
        <w:spacing w:before="0" w:after="120" w:line="360" w:lineRule="auto"/>
        <w:jc w:val="both"/>
      </w:pPr>
      <w:r>
        <w:rPr>
          <w:rFonts w:ascii="Times New Roman" w:hAnsi="Times New Roman"/>
          <w:b w:val="0"/>
          <w:i w:val="0"/>
          <w:sz w:val="24"/>
        </w:rPr>
        <w:t>Despite these advances, existing wearable TinyML literature has focused almost exclusively on static forward inference—such as keyword spotting, gesture recognition, or episodic arrhythmia detection (Lin et al., 2020; MCUNet). Pure forward inference, however, cannot adapt to an individual user's evolving physiology. The far more difficult challenge—on-device training and incremental weight adaptation on streaming biosignals—remains largely unexplored in commercial wearables due to the severe memory constraints of storing intermediate activation graphs for backpropagation. This project directly addresses this gap by formulating an on-device micro-batch Stochastic Gradient Descent (Micro-SGD) engine with hard-bounded parameter updates designed specifically for embedded physiological adaptation.</w:t>
      </w:r>
    </w:p>
    <w:p>
      <w:pPr>
        <w:spacing w:before="280" w:after="120" w:line="360" w:lineRule="auto"/>
        <w:jc w:val="left"/>
      </w:pPr>
      <w:r>
        <w:rPr>
          <w:rFonts w:ascii="Times New Roman" w:hAnsi="Times New Roman"/>
          <w:b/>
          <w:i w:val="0"/>
          <w:color w:val="0F172A"/>
          <w:sz w:val="28"/>
        </w:rPr>
        <w:t>2.3 Comparative Limitations of Existing Work</w:t>
      </w:r>
    </w:p>
    <w:p>
      <w:pPr>
        <w:spacing w:before="0" w:after="120" w:line="360" w:lineRule="auto"/>
        <w:jc w:val="both"/>
      </w:pPr>
      <w:r>
        <w:rPr>
          <w:rFonts w:ascii="Times New Roman" w:hAnsi="Times New Roman"/>
          <w:b w:val="0"/>
          <w:i w:val="0"/>
          <w:sz w:val="24"/>
        </w:rPr>
        <w:t>To rigorously position InstaHealth within the landscape of consumer wearables and academic edge computing prototypes, Table 2.1 presents a comprehensive comparative analysis across eight key architectural, privacy, and physiological dimensions.</w:t>
      </w:r>
    </w:p>
    <w:p>
      <w:pPr>
        <w:spacing w:before="0" w:after="120" w:line="360" w:lineRule="auto"/>
        <w:jc w:val="both"/>
      </w:pPr>
      <w:r>
        <w:rPr>
          <w:rFonts w:ascii="Times New Roman" w:hAnsi="Times New Roman"/>
          <w:b w:val="0"/>
          <w:i w:val="0"/>
          <w:sz w:val="24"/>
        </w:rPr>
        <w:t>As demonstrated in Table 2.1, commercial market leaders—including the Apple Watch Series 9, Google Pixel Watch 2, Garmin Forerunner 965, Whoop 4.0, and Oura Ring Gen 3—all enforce mandatory or near-mandatory cloud synchronization for deep physiological modeling. None of these commercial platforms support on-device neural training or adaptation, nor do they provide sandboxed multi-profile isolation for users wishing to partition athletic or contextual personas. Academic prototypes like MCUNet have achieved exceptional feats in quantized on-device inference, but lack closed-loop physiological modeling, 48-hour autonomous calibration, and continuous dynamic target generation.</w:t>
      </w:r>
    </w:p>
    <w:p>
      <w:pPr>
        <w:spacing w:before="0" w:after="120" w:line="360" w:lineRule="auto"/>
        <w:jc w:val="both"/>
      </w:pPr>
      <w:r>
        <w:rPr>
          <w:rFonts w:ascii="Times New Roman" w:hAnsi="Times New Roman"/>
          <w:b w:val="0"/>
          <w:i w:val="0"/>
          <w:sz w:val="24"/>
        </w:rPr>
        <w:t>InstaHealth is uniquely situated as the only platform providing 100% cloud-independent operation, on-device Micro-SGD baseline adaptation, multi-profile sandboxing, clinically grounded demographic stratification (Tanaka and Gulati), and sub-milliwatt power efficiency on standard wearable microcontrollers.</w:t>
      </w:r>
    </w:p>
    <w:p>
      <w:pPr>
        <w:spacing w:before="240" w:after="120"/>
        <w:jc w:val="center"/>
      </w:pPr>
      <w:r>
        <w:rPr>
          <w:rFonts w:ascii="Times New Roman" w:hAnsi="Times New Roman"/>
          <w:b/>
          <w:color w:val="1E3A8A"/>
          <w:sz w:val="21"/>
        </w:rPr>
        <w:t>Table 2.1: Comparative Architectural and Privacy Matrix: InstaHealth vs Commercial Platforms</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left w:val="none"/>
          <w:right w:val="none"/>
          <w:insideV w:val="none"/>
        </w:tblBorders>
      </w:tblPr>
      <w:tblGrid>
        <w:gridCol w:w="1286"/>
        <w:gridCol w:w="1286"/>
        <w:gridCol w:w="1286"/>
        <w:gridCol w:w="1286"/>
        <w:gridCol w:w="1286"/>
        <w:gridCol w:w="1286"/>
        <w:gridCol w:w="1286"/>
      </w:tblGrid>
      <w:tr>
        <w:tc>
          <w:tcPr>
            <w:tcW w:type="dxa" w:w="1286"/>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Evaluation Metric / Dimension</w:t>
            </w:r>
          </w:p>
        </w:tc>
        <w:tc>
          <w:tcPr>
            <w:tcW w:type="dxa" w:w="1286"/>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Apple Watch S9</w:t>
            </w:r>
          </w:p>
        </w:tc>
        <w:tc>
          <w:tcPr>
            <w:tcW w:type="dxa" w:w="1286"/>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Google Pixel Watch 2</w:t>
            </w:r>
          </w:p>
        </w:tc>
        <w:tc>
          <w:tcPr>
            <w:tcW w:type="dxa" w:w="1286"/>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Garmin Forerunner 965</w:t>
            </w:r>
          </w:p>
        </w:tc>
        <w:tc>
          <w:tcPr>
            <w:tcW w:type="dxa" w:w="1286"/>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Whoop 4.0</w:t>
            </w:r>
          </w:p>
        </w:tc>
        <w:tc>
          <w:tcPr>
            <w:tcW w:type="dxa" w:w="1286"/>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Oura Ring Gen 3</w:t>
            </w:r>
          </w:p>
        </w:tc>
        <w:tc>
          <w:tcPr>
            <w:tcW w:type="dxa" w:w="1286"/>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InstaHealth (Proposed)</w:t>
            </w:r>
          </w:p>
        </w:tc>
      </w:tr>
      <w:tr>
        <w:tc>
          <w:tcPr>
            <w:tcW w:type="dxa" w:w="128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Cloud Independence</w:t>
            </w:r>
          </w:p>
        </w:tc>
        <w:tc>
          <w:tcPr>
            <w:tcW w:type="dxa" w:w="128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Partial (Requires iCloud sync)</w:t>
            </w:r>
          </w:p>
        </w:tc>
        <w:tc>
          <w:tcPr>
            <w:tcW w:type="dxa" w:w="128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No (Mandatory Google Cloud)</w:t>
            </w:r>
          </w:p>
        </w:tc>
        <w:tc>
          <w:tcPr>
            <w:tcW w:type="dxa" w:w="1286"/>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Partial (Garmin Connect)</w:t>
            </w:r>
          </w:p>
        </w:tc>
        <w:tc>
          <w:tcPr>
            <w:tcW w:type="dxa" w:w="128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No (Mandatory Whoop Cloud)</w:t>
            </w:r>
          </w:p>
        </w:tc>
        <w:tc>
          <w:tcPr>
            <w:tcW w:type="dxa" w:w="128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No (Mandatory Oura Cloud)</w:t>
            </w:r>
          </w:p>
        </w:tc>
        <w:tc>
          <w:tcPr>
            <w:tcW w:type="dxa" w:w="128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100% Zero-Cloud (Air-Gapped)</w:t>
            </w:r>
          </w:p>
        </w:tc>
      </w:tr>
      <w:tr>
        <w:tc>
          <w:tcPr>
            <w:tcW w:type="dxa" w:w="128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On-Device Model Adaptation</w:t>
            </w:r>
          </w:p>
        </w:tc>
        <w:tc>
          <w:tcPr>
            <w:tcW w:type="dxa" w:w="128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No (Static rules on-device)</w:t>
            </w:r>
          </w:p>
        </w:tc>
        <w:tc>
          <w:tcPr>
            <w:tcW w:type="dxa" w:w="128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No (Cloud batch inference)</w:t>
            </w:r>
          </w:p>
        </w:tc>
        <w:tc>
          <w:tcPr>
            <w:tcW w:type="dxa" w:w="1286"/>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No (Static algorithms)</w:t>
            </w:r>
          </w:p>
        </w:tc>
        <w:tc>
          <w:tcPr>
            <w:tcW w:type="dxa" w:w="128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No (Cloud server training)</w:t>
            </w:r>
          </w:p>
        </w:tc>
        <w:tc>
          <w:tcPr>
            <w:tcW w:type="dxa" w:w="1286"/>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No (Cloud ML pipelines)</w:t>
            </w:r>
          </w:p>
        </w:tc>
        <w:tc>
          <w:tcPr>
            <w:tcW w:type="dxa" w:w="128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Yes (Micro-SGD TinyML on-device)</w:t>
            </w:r>
          </w:p>
        </w:tc>
      </w:tr>
      <w:tr>
        <w:tc>
          <w:tcPr>
            <w:tcW w:type="dxa" w:w="128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Multi-Profile Persona Isolation</w:t>
            </w:r>
          </w:p>
        </w:tc>
        <w:tc>
          <w:tcPr>
            <w:tcW w:type="dxa" w:w="1286"/>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No (Single Apple ID)</w:t>
            </w:r>
          </w:p>
        </w:tc>
        <w:tc>
          <w:tcPr>
            <w:tcW w:type="dxa" w:w="128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No (Single Google Account)</w:t>
            </w:r>
          </w:p>
        </w:tc>
        <w:tc>
          <w:tcPr>
            <w:tcW w:type="dxa" w:w="1286"/>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No (Single user profile)</w:t>
            </w:r>
          </w:p>
        </w:tc>
        <w:tc>
          <w:tcPr>
            <w:tcW w:type="dxa" w:w="128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No (Single athlete account)</w:t>
            </w:r>
          </w:p>
        </w:tc>
        <w:tc>
          <w:tcPr>
            <w:tcW w:type="dxa" w:w="1286"/>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No (Single account)</w:t>
            </w:r>
          </w:p>
        </w:tc>
        <w:tc>
          <w:tcPr>
            <w:tcW w:type="dxa" w:w="128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Yes (Emoji-keyed sandboxed silos)</w:t>
            </w:r>
          </w:p>
        </w:tc>
      </w:tr>
      <w:tr>
        <w:tc>
          <w:tcPr>
            <w:tcW w:type="dxa" w:w="128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Personal Baseline Window</w:t>
            </w:r>
          </w:p>
        </w:tc>
        <w:tc>
          <w:tcPr>
            <w:tcW w:type="dxa" w:w="1286"/>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14–21 Days (Cloud)</w:t>
            </w:r>
          </w:p>
        </w:tc>
        <w:tc>
          <w:tcPr>
            <w:tcW w:type="dxa" w:w="128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14 Days (Cloud analytics)</w:t>
            </w:r>
          </w:p>
        </w:tc>
        <w:tc>
          <w:tcPr>
            <w:tcW w:type="dxa" w:w="1286"/>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7–14 Days (Cloud)</w:t>
            </w:r>
          </w:p>
        </w:tc>
        <w:tc>
          <w:tcPr>
            <w:tcW w:type="dxa" w:w="1286"/>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14–30 Days (Cloud)</w:t>
            </w:r>
          </w:p>
        </w:tc>
        <w:tc>
          <w:tcPr>
            <w:tcW w:type="dxa" w:w="1286"/>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14–21 Days (Cloud)</w:t>
            </w:r>
          </w:p>
        </w:tc>
        <w:tc>
          <w:tcPr>
            <w:tcW w:type="dxa" w:w="128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48 Hours (Autonomous On-Device)</w:t>
            </w:r>
          </w:p>
        </w:tc>
      </w:tr>
      <w:tr>
        <w:tc>
          <w:tcPr>
            <w:tcW w:type="dxa" w:w="128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Maximum HR Formulation</w:t>
            </w:r>
          </w:p>
        </w:tc>
        <w:tc>
          <w:tcPr>
            <w:tcW w:type="dxa" w:w="128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Fox &amp; Haskell (220 - Age)</w:t>
            </w:r>
          </w:p>
        </w:tc>
        <w:tc>
          <w:tcPr>
            <w:tcW w:type="dxa" w:w="128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Fox &amp; Haskell (220 - Age)</w:t>
            </w:r>
          </w:p>
        </w:tc>
        <w:tc>
          <w:tcPr>
            <w:tcW w:type="dxa" w:w="128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Fox &amp; Haskell (Adjustable)</w:t>
            </w:r>
          </w:p>
        </w:tc>
        <w:tc>
          <w:tcPr>
            <w:tcW w:type="dxa" w:w="128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Proprietary Cloud Heuristic</w:t>
            </w:r>
          </w:p>
        </w:tc>
        <w:tc>
          <w:tcPr>
            <w:tcW w:type="dxa" w:w="1286"/>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Resting HR only</w:t>
            </w:r>
          </w:p>
        </w:tc>
        <w:tc>
          <w:tcPr>
            <w:tcW w:type="dxa" w:w="128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Tanaka (Male) / Gulati (Female)</w:t>
            </w:r>
          </w:p>
        </w:tc>
      </w:tr>
      <w:tr>
        <w:tc>
          <w:tcPr>
            <w:tcW w:type="dxa" w:w="128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Sleep Debt Carryover Model</w:t>
            </w:r>
          </w:p>
        </w:tc>
        <w:tc>
          <w:tcPr>
            <w:tcW w:type="dxa" w:w="1286"/>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Binary debt vs 8h target</w:t>
            </w:r>
          </w:p>
        </w:tc>
        <w:tc>
          <w:tcPr>
            <w:tcW w:type="dxa" w:w="128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Generic sleep debt scores</w:t>
            </w:r>
          </w:p>
        </w:tc>
        <w:tc>
          <w:tcPr>
            <w:tcW w:type="dxa" w:w="1286"/>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Static sleep coach</w:t>
            </w:r>
          </w:p>
        </w:tc>
        <w:tc>
          <w:tcPr>
            <w:tcW w:type="dxa" w:w="1286"/>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Cloud homeostatic strain</w:t>
            </w:r>
          </w:p>
        </w:tc>
        <w:tc>
          <w:tcPr>
            <w:tcW w:type="dxa" w:w="128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Cloud restorative sleep index</w:t>
            </w:r>
          </w:p>
        </w:tc>
        <w:tc>
          <w:tcPr>
            <w:tcW w:type="dxa" w:w="128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Belenky Autoregressive (λ = 0.5)</w:t>
            </w:r>
          </w:p>
        </w:tc>
      </w:tr>
      <w:tr>
        <w:tc>
          <w:tcPr>
            <w:tcW w:type="dxa" w:w="128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Active RF Radio Power Drain</w:t>
            </w:r>
          </w:p>
        </w:tc>
        <w:tc>
          <w:tcPr>
            <w:tcW w:type="dxa" w:w="1286"/>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High (BLE + Wi-Fi sync)</w:t>
            </w:r>
          </w:p>
        </w:tc>
        <w:tc>
          <w:tcPr>
            <w:tcW w:type="dxa" w:w="1286"/>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High (BLE + LTE/Wi-Fi)</w:t>
            </w:r>
          </w:p>
        </w:tc>
        <w:tc>
          <w:tcPr>
            <w:tcW w:type="dxa" w:w="128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Medium (BLE periodic sync)</w:t>
            </w:r>
          </w:p>
        </w:tc>
        <w:tc>
          <w:tcPr>
            <w:tcW w:type="dxa" w:w="128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High (Continuous BLE stream)</w:t>
            </w:r>
          </w:p>
        </w:tc>
        <w:tc>
          <w:tcPr>
            <w:tcW w:type="dxa" w:w="128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Medium (Periodic BLE sync)</w:t>
            </w:r>
          </w:p>
        </w:tc>
        <w:tc>
          <w:tcPr>
            <w:tcW w:type="dxa" w:w="1286"/>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Zero (RF Disabled/Air-Gapped)</w:t>
            </w:r>
          </w:p>
        </w:tc>
      </w:tr>
      <w:tr>
        <w:tc>
          <w:tcPr>
            <w:tcW w:type="dxa" w:w="128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User Data Ownership &amp; HIPAA/GDPR</w:t>
            </w:r>
          </w:p>
        </w:tc>
        <w:tc>
          <w:tcPr>
            <w:tcW w:type="dxa" w:w="1286"/>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Corporate Cloud Vault</w:t>
            </w:r>
          </w:p>
        </w:tc>
        <w:tc>
          <w:tcPr>
            <w:tcW w:type="dxa" w:w="1286"/>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Google Server Clusters</w:t>
            </w:r>
          </w:p>
        </w:tc>
        <w:tc>
          <w:tcPr>
            <w:tcW w:type="dxa" w:w="1286"/>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Garmin Cloud Servers</w:t>
            </w:r>
          </w:p>
        </w:tc>
        <w:tc>
          <w:tcPr>
            <w:tcW w:type="dxa" w:w="128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Whoop Cloud Infrastructure</w:t>
            </w:r>
          </w:p>
        </w:tc>
        <w:tc>
          <w:tcPr>
            <w:tcW w:type="dxa" w:w="1286"/>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Oura Cloud Storage</w:t>
            </w:r>
          </w:p>
        </w:tc>
        <w:tc>
          <w:tcPr>
            <w:tcW w:type="dxa" w:w="1286"/>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100% Sovereign (Local Hardware Only)</w:t>
            </w:r>
          </w:p>
        </w:tc>
      </w:tr>
    </w:tbl>
    <w:p>
      <w:pPr>
        <w:spacing w:before="0" w:after="160"/>
      </w:pPr>
    </w:p>
    <w:p>
      <w:pPr>
        <w:spacing w:before="280" w:after="120" w:line="360" w:lineRule="auto"/>
        <w:jc w:val="left"/>
      </w:pPr>
      <w:r>
        <w:rPr>
          <w:rFonts w:ascii="Times New Roman" w:hAnsi="Times New Roman"/>
          <w:b/>
          <w:i w:val="0"/>
          <w:color w:val="0F172A"/>
          <w:sz w:val="28"/>
        </w:rPr>
        <w:t>2.4 Proposed System Overview and Theoretical Foundations</w:t>
      </w:r>
    </w:p>
    <w:p>
      <w:pPr>
        <w:spacing w:before="0" w:after="120" w:line="360" w:lineRule="auto"/>
        <w:jc w:val="both"/>
      </w:pPr>
      <w:r>
        <w:rPr>
          <w:rFonts w:ascii="Times New Roman" w:hAnsi="Times New Roman"/>
          <w:b w:val="0"/>
          <w:i w:val="0"/>
          <w:sz w:val="24"/>
        </w:rPr>
        <w:t>The mathematical and clinical foundations of the InstaHealth architecture are rooted in three validated physiological and machine learning frameworks: Maximum Heart Rate and Heart Rate Reserve formulations, Belenky sleep debt dynamics, and bounded Micro-SGD gradient descent optimization.</w:t>
      </w:r>
    </w:p>
    <w:p>
      <w:pPr>
        <w:spacing w:before="200" w:after="80" w:line="360" w:lineRule="auto"/>
        <w:jc w:val="left"/>
      </w:pPr>
      <w:r>
        <w:rPr>
          <w:rFonts w:ascii="Times New Roman" w:hAnsi="Times New Roman"/>
          <w:b/>
          <w:i w:val="0"/>
          <w:color w:val="1E293B"/>
          <w:sz w:val="24"/>
        </w:rPr>
        <w:t>2.4.1 Tanaka, Gulati, and Karvonen Heart Rate Reserve Formulations</w:t>
      </w:r>
    </w:p>
    <w:p>
      <w:pPr>
        <w:spacing w:before="0" w:after="120" w:line="360" w:lineRule="auto"/>
        <w:jc w:val="both"/>
      </w:pPr>
      <w:r>
        <w:rPr>
          <w:rFonts w:ascii="Times New Roman" w:hAnsi="Times New Roman"/>
          <w:b w:val="0"/>
          <w:i w:val="0"/>
          <w:sz w:val="24"/>
        </w:rPr>
        <w:t>To establish rigorous demographic priors without cloud communication, InstaHealth implements the clinically validated regression models of Tanaka et al. (2001) for male users and Gulati et al. (2010) for female users.</w:t>
      </w:r>
    </w:p>
    <w:p>
      <w:pPr>
        <w:spacing w:before="0" w:after="120" w:line="360" w:lineRule="auto"/>
        <w:jc w:val="both"/>
      </w:pPr>
      <w:r>
        <w:rPr>
          <w:rFonts w:ascii="Times New Roman" w:hAnsi="Times New Roman"/>
          <w:b w:val="0"/>
          <w:i w:val="0"/>
          <w:sz w:val="24"/>
        </w:rPr>
        <w:t>For male users, maximum heart rate is modeled as:</w:t>
        <w:br/>
        <w:t>HRmax(male) = 208 - (0.7 × Age)</w:t>
        <w:br/>
        <w:t>This equation reduces the standard estimation error from ±15 bpm (under Fox and Haskell) to ±7.2 bpm, accurately reflecting the linear decline in intrinsic sinus node firing rate across adulthood.</w:t>
      </w:r>
    </w:p>
    <w:p>
      <w:pPr>
        <w:spacing w:before="0" w:after="120" w:line="360" w:lineRule="auto"/>
        <w:jc w:val="both"/>
      </w:pPr>
      <w:r>
        <w:rPr>
          <w:rFonts w:ascii="Times New Roman" w:hAnsi="Times New Roman"/>
          <w:b w:val="0"/>
          <w:i w:val="0"/>
          <w:sz w:val="24"/>
        </w:rPr>
        <w:t>For female users, maximum heart rate is modeled as:</w:t>
        <w:br/>
        <w:t>HRmax(female) = 206 - (0.88 × Age)</w:t>
        <w:br/>
        <w:t>Derived from a prospective cohort of 5,437 asymptomatic women followed over eight years, this formula captures the more pronounced rate of decline in female peak chronotropic response with advancing age.</w:t>
      </w:r>
    </w:p>
    <w:p>
      <w:pPr>
        <w:spacing w:before="0" w:after="120" w:line="360" w:lineRule="auto"/>
        <w:jc w:val="both"/>
      </w:pPr>
      <w:r>
        <w:rPr>
          <w:rFonts w:ascii="Times New Roman" w:hAnsi="Times New Roman"/>
          <w:b w:val="0"/>
          <w:i w:val="0"/>
          <w:sz w:val="24"/>
        </w:rPr>
        <w:t>To quantify real-time cardiovascular exertion, InstaHealth implements the Karvonen Heart Rate Reserve (HRR) methodology (Karvonen et al., 1957). The Heart Rate Reserve represents the dynamic physiological range between an individual's resting heart rate (HRrest) and their maximum attainable heart rate (HRmax):</w:t>
        <w:br/>
        <w:t>HRR = HRmax - HRrest</w:t>
      </w:r>
    </w:p>
    <w:p>
      <w:pPr>
        <w:spacing w:before="0" w:after="120" w:line="360" w:lineRule="auto"/>
        <w:jc w:val="both"/>
      </w:pPr>
      <w:r>
        <w:rPr>
          <w:rFonts w:ascii="Times New Roman" w:hAnsi="Times New Roman"/>
          <w:b w:val="0"/>
          <w:i w:val="0"/>
          <w:sz w:val="24"/>
        </w:rPr>
        <w:t>The instantaneous cardiovascular strain percentage (Intensity %) is calculated in real time as:</w:t>
        <w:br/>
        <w:t>Intensity % = ((HRcurrent - HRrest) / HRR) × 100</w:t>
      </w:r>
    </w:p>
    <w:p>
      <w:pPr>
        <w:spacing w:before="0" w:after="120" w:line="360" w:lineRule="auto"/>
        <w:jc w:val="both"/>
      </w:pPr>
      <w:r>
        <w:rPr>
          <w:rFonts w:ascii="Times New Roman" w:hAnsi="Times New Roman"/>
          <w:b w:val="0"/>
          <w:i w:val="0"/>
          <w:sz w:val="24"/>
        </w:rPr>
        <w:t>Based on this continuous metric, InstaHealth stratifies cardiovascular activity into five standardized clinical training intensity zones: Zone 1 (Active Recovery: 50–60% HRR), Zone 2 (Aerobic Base / Fat Oxidation: 60–70% HRR), Zone 3 (Tempo / Aerobic Capacity: 70–80% HRR), Zone 4 (Anaerobic / Lactate Threshold: 80–90% HRR), and Zone 5 (Neuromuscular / VO2 Max: 90–100% HRR). By referencing dynamic HRrest rather than a static baseline, InstaHealth prevents dangerous cardiac overstrain during periods of high systemic fatigue.</w:t>
      </w:r>
    </w:p>
    <w:p>
      <w:pPr>
        <w:spacing w:before="200" w:after="80" w:line="360" w:lineRule="auto"/>
        <w:jc w:val="left"/>
      </w:pPr>
      <w:r>
        <w:rPr>
          <w:rFonts w:ascii="Times New Roman" w:hAnsi="Times New Roman"/>
          <w:b/>
          <w:i w:val="0"/>
          <w:color w:val="1E293B"/>
          <w:sz w:val="24"/>
        </w:rPr>
        <w:t>2.4.2 Belenky Sleep Debt Accumulation and Homeostatic Recovery</w:t>
      </w:r>
    </w:p>
    <w:p>
      <w:pPr>
        <w:spacing w:before="0" w:after="120" w:line="360" w:lineRule="auto"/>
        <w:jc w:val="both"/>
      </w:pPr>
      <w:r>
        <w:rPr>
          <w:rFonts w:ascii="Times New Roman" w:hAnsi="Times New Roman"/>
          <w:b w:val="0"/>
          <w:i w:val="0"/>
          <w:sz w:val="24"/>
        </w:rPr>
        <w:t>Rather than demanding an arbitrary 8.0 hours of nightly rest, InstaHealth models sleep requirements dynamically using the cumulative sleep debt formulations established by Belenky et al. (2003) and Van Dongen et al. (2003) in their landmark dose-response sleep restriction trials.</w:t>
      </w:r>
    </w:p>
    <w:p>
      <w:pPr>
        <w:spacing w:before="0" w:after="120" w:line="360" w:lineRule="auto"/>
        <w:jc w:val="both"/>
      </w:pPr>
      <w:r>
        <w:rPr>
          <w:rFonts w:ascii="Times New Roman" w:hAnsi="Times New Roman"/>
          <w:b w:val="0"/>
          <w:i w:val="0"/>
          <w:sz w:val="24"/>
        </w:rPr>
        <w:t>Let Sbase represent the user's converged biological sleep baseline (established during the 48-hour calibration phase, typically 7.2 to 8.2 hours). On any given night t, if the recorded actual sleep duration Sactual(t) is less than Sbase, an acute sleep deficit is incurred:</w:t>
        <w:br/>
        <w:t>Deficit(t) = max(0, Sbase - Sactual(t))</w:t>
      </w:r>
    </w:p>
    <w:p>
      <w:pPr>
        <w:spacing w:before="0" w:after="120" w:line="360" w:lineRule="auto"/>
        <w:jc w:val="both"/>
      </w:pPr>
      <w:r>
        <w:rPr>
          <w:rFonts w:ascii="Times New Roman" w:hAnsi="Times New Roman"/>
          <w:b w:val="0"/>
          <w:i w:val="0"/>
          <w:sz w:val="24"/>
        </w:rPr>
        <w:t>Crucially, human cognitive psychomotor vigilance and autonomic recovery do not fully reset following a single recovery night; residual neurobehavioral deficits carry forward. InstaHealth models this longitudinal accumulation as a first-order autoregressive decay process:</w:t>
        <w:br/>
        <w:t>Debt(t) = Deficit(t) + (λ × Debt(t-1))</w:t>
        <w:br/>
        <w:t>where λ represents the homeostatic carryover decay constant, empirically calibrated to λ = 0.5 based on the chronic sleep restriction models of Belenky et al. (2003).</w:t>
      </w:r>
    </w:p>
    <w:p>
      <w:pPr>
        <w:spacing w:before="0" w:after="120" w:line="360" w:lineRule="auto"/>
        <w:jc w:val="both"/>
      </w:pPr>
      <w:r>
        <w:rPr>
          <w:rFonts w:ascii="Times New Roman" w:hAnsi="Times New Roman"/>
          <w:b w:val="0"/>
          <w:i w:val="0"/>
          <w:sz w:val="24"/>
        </w:rPr>
        <w:t>To restore homeostatic equilibrium without prescribing impractical sleep durations that induce sleep fragmentation, InstaHealth synthesizes the dynamic sleep target for the subsequent night (t+1) as:</w:t>
        <w:br/>
        <w:t>Starget(t+1) = Sbase + min(Smax_extension, γ × Debt(t))</w:t>
        <w:br/>
        <w:t>where Smax_extension is a hard clinical ceiling fixed at 1.5 hours (90 minutes) and γ = 0.35 is the recovery pacing factor. This formulation guarantees that even after severe acute sleep deprivation, the prescribed target increases smoothly and achievably, promoting restorative slow-wave sleep without inducing psychological anxiety.</w:t>
      </w:r>
    </w:p>
    <w:p>
      <w:pPr>
        <w:spacing w:before="200" w:after="80" w:line="360" w:lineRule="auto"/>
        <w:jc w:val="left"/>
      </w:pPr>
      <w:r>
        <w:rPr>
          <w:rFonts w:ascii="Times New Roman" w:hAnsi="Times New Roman"/>
          <w:b/>
          <w:i w:val="0"/>
          <w:color w:val="1E293B"/>
          <w:sz w:val="24"/>
        </w:rPr>
        <w:t>2.4.3 On-Device Edge Learning via Micro-SGD</w:t>
      </w:r>
    </w:p>
    <w:p>
      <w:pPr>
        <w:spacing w:before="0" w:after="120" w:line="360" w:lineRule="auto"/>
        <w:jc w:val="both"/>
      </w:pPr>
      <w:r>
        <w:rPr>
          <w:rFonts w:ascii="Times New Roman" w:hAnsi="Times New Roman"/>
          <w:b w:val="0"/>
          <w:i w:val="0"/>
          <w:sz w:val="24"/>
        </w:rPr>
        <w:t>To enable continuous on-device adaptation without cloud retraining, InstaHealth incorporates a lightweight 2-layer Multi-Layer Perceptron (MLP) optimized for micro-batch execution.</w:t>
      </w:r>
    </w:p>
    <w:p>
      <w:pPr>
        <w:spacing w:before="0" w:after="120" w:line="360" w:lineRule="auto"/>
        <w:jc w:val="both"/>
      </w:pPr>
      <w:r>
        <w:rPr>
          <w:rFonts w:ascii="Times New Roman" w:hAnsi="Times New Roman"/>
          <w:b w:val="0"/>
          <w:i w:val="0"/>
          <w:sz w:val="24"/>
        </w:rPr>
        <w:t>The neural architecture accepts a 5-dimensional normalized input vector x = [x1, x2, x3, x4, x5]^T, representing: x1: normalized rolling mean heart rate, x2: root mean square of successive differences (RMSSD) heart rate variability, x3: normalized step intensity per minute, x4: cumulative sleep debt, and x5: current calibration day index. The hidden layer comprises 8 neurons with Rectified Linear Unit (ReLU) activation functions, mapping to an output layer of 3 linear target neurons: y = [y_sleep, y_steps, y_max_strain]^T.</w:t>
      </w:r>
    </w:p>
    <w:p>
      <w:pPr>
        <w:spacing w:before="0" w:after="120" w:line="360" w:lineRule="auto"/>
        <w:jc w:val="both"/>
      </w:pPr>
      <w:r>
        <w:rPr>
          <w:rFonts w:ascii="Times New Roman" w:hAnsi="Times New Roman"/>
          <w:b w:val="0"/>
          <w:i w:val="0"/>
          <w:sz w:val="24"/>
        </w:rPr>
        <w:t>During the operational phase, the network updates its weight matrices W1 ∈ R^(8×5) and W2 ∈ R^(3×8) locally using an on-device Micro-SGD routine. The objective loss function is the Mean Squared Error (MSE) computed against the user's filtered observational moving average y*:</w:t>
        <w:br/>
        <w:t>L = (1 / 2) × ||y - y*||^2</w:t>
      </w:r>
    </w:p>
    <w:p>
      <w:pPr>
        <w:spacing w:before="0" w:after="120" w:line="360" w:lineRule="auto"/>
        <w:jc w:val="both"/>
      </w:pPr>
      <w:r>
        <w:rPr>
          <w:rFonts w:ascii="Times New Roman" w:hAnsi="Times New Roman"/>
          <w:b w:val="0"/>
          <w:i w:val="0"/>
          <w:sz w:val="24"/>
        </w:rPr>
        <w:t>The weight gradients are evaluated via analytical backpropagation:</w:t>
        <w:br/>
        <w:t>∇_W2 L = (y - y*) · h^T</w:t>
        <w:br/>
        <w:t>∇_W1 L = (W2^T (y - y*) ⊙ (h &gt; 0)) · x^T</w:t>
        <w:br/>
        <w:t>where h is the hidden layer activation vector and ⊙ denotes the element-wise Hadamard product.</w:t>
      </w:r>
    </w:p>
    <w:p>
      <w:pPr>
        <w:spacing w:before="0" w:after="120" w:line="360" w:lineRule="auto"/>
        <w:jc w:val="both"/>
      </w:pPr>
      <w:r>
        <w:rPr>
          <w:rFonts w:ascii="Times New Roman" w:hAnsi="Times New Roman"/>
          <w:b w:val="0"/>
          <w:i w:val="0"/>
          <w:sz w:val="24"/>
        </w:rPr>
        <w:t>To prevent catastrophic weight drift, gradient explosion, or runaway positive feedback loops caused by sensor noise, InstaHealth enforces a hard gradient clipping invariant:</w:t>
        <w:br/>
        <w:t>ΔW = clip(-η ∇_W L, -δ_max, δ_max)</w:t>
        <w:br/>
        <w:t>where η = 0.01 is the conservative learning rate and δ_max = 0.05 is the maximum allowable parameter shift per update step. This mathematical boundary ensures that the neural network adapts gracefully to genuine chronic physiological changes (such as improved aerobic fitness over weeks) while remaining strictly immune to acute transient sensor perturbations.</w:t>
      </w:r>
    </w:p>
    <w:p>
      <w:r>
        <w:br w:type="page"/>
      </w:r>
    </w:p>
    <w:p>
      <w:pPr>
        <w:spacing w:before="320" w:after="280" w:line="360" w:lineRule="auto"/>
        <w:jc w:val="center"/>
      </w:pPr>
      <w:r>
        <w:rPr>
          <w:rFonts w:ascii="Times New Roman" w:hAnsi="Times New Roman"/>
          <w:b/>
          <w:i w:val="0"/>
          <w:color w:val="1E3A8A"/>
          <w:sz w:val="32"/>
        </w:rPr>
        <w:t>CHAPTER 3: OBJECTIVES AND SCOPE OF WORK</w:t>
      </w:r>
    </w:p>
    <w:p>
      <w:pPr>
        <w:spacing w:before="280" w:after="120" w:line="360" w:lineRule="auto"/>
        <w:jc w:val="left"/>
      </w:pPr>
      <w:r>
        <w:rPr>
          <w:rFonts w:ascii="Times New Roman" w:hAnsi="Times New Roman"/>
          <w:b/>
          <w:i w:val="0"/>
          <w:color w:val="0F172A"/>
          <w:sz w:val="28"/>
        </w:rPr>
        <w:t>3.1 Project Objectives</w:t>
      </w:r>
    </w:p>
    <w:p>
      <w:pPr>
        <w:spacing w:before="0" w:after="120" w:line="360" w:lineRule="auto"/>
        <w:jc w:val="both"/>
      </w:pPr>
      <w:r>
        <w:rPr>
          <w:rFonts w:ascii="Times New Roman" w:hAnsi="Times New Roman"/>
          <w:b w:val="0"/>
          <w:i w:val="0"/>
          <w:sz w:val="24"/>
        </w:rPr>
        <w:t>The overarching purpose of the InstaHealth project is to develop and validate a fully autonomous, privacy-preserving, on-device smartwatch health intelligence system that supersedes conventional cloud-dependent architectures and static population heuristics. To achieve this vision, the project defines specific primary research objectives and detailed engineering objectives.</w:t>
      </w:r>
    </w:p>
    <w:p>
      <w:pPr>
        <w:spacing w:before="200" w:after="80" w:line="360" w:lineRule="auto"/>
        <w:jc w:val="left"/>
      </w:pPr>
      <w:r>
        <w:rPr>
          <w:rFonts w:ascii="Times New Roman" w:hAnsi="Times New Roman"/>
          <w:b/>
          <w:i w:val="0"/>
          <w:color w:val="1E293B"/>
          <w:sz w:val="24"/>
        </w:rPr>
        <w:t>3.1.1 Primary Research Objectives</w:t>
      </w:r>
    </w:p>
    <w:p>
      <w:pPr>
        <w:spacing w:before="0" w:after="120" w:line="360" w:lineRule="auto"/>
        <w:jc w:val="both"/>
      </w:pPr>
      <w:r>
        <w:rPr>
          <w:rFonts w:ascii="Times New Roman" w:hAnsi="Times New Roman"/>
          <w:b w:val="0"/>
          <w:i w:val="0"/>
          <w:sz w:val="24"/>
        </w:rPr>
        <w:t>The primary research objectives governing this investigation are formulated as follows:</w:t>
      </w:r>
    </w:p>
    <w:p>
      <w:pPr>
        <w:spacing w:before="0" w:after="120" w:line="360" w:lineRule="auto"/>
        <w:jc w:val="both"/>
      </w:pPr>
      <w:r>
        <w:rPr>
          <w:rFonts w:ascii="Times New Roman" w:hAnsi="Times New Roman"/>
          <w:b w:val="0"/>
          <w:i w:val="0"/>
          <w:sz w:val="24"/>
        </w:rPr>
        <w:t>1. Guarantee Absolute Physiological Data Sovereignty: Prove the feasibility of deploying an end-to-end continuous health intelligence system that operates in an entirely air-gapped configuration. The system must establish a zero-cloud invariant, requiring zero external server connections, zero network socket allocations, and zero telemetry exfiltration, thereby providing mathematical immunity against remote eavesdropping, data broker monetization, and cloud breaches.</w:t>
      </w:r>
    </w:p>
    <w:p>
      <w:pPr>
        <w:spacing w:before="0" w:after="120" w:line="360" w:lineRule="auto"/>
        <w:jc w:val="both"/>
      </w:pPr>
      <w:r>
        <w:rPr>
          <w:rFonts w:ascii="Times New Roman" w:hAnsi="Times New Roman"/>
          <w:b w:val="0"/>
          <w:i w:val="0"/>
          <w:sz w:val="24"/>
        </w:rPr>
        <w:t>2. Formulate and Validate an Autonomous On-Device Calibration Paradigm: Design a deterministic state machine that bridges the gap between cold-start demographic population priors and individual biological baselines. The system must autonomously assimilate continuous optical and inertial biosignals over a standardized 48-hour continuous wear cycle, achieving statistical convergence without requiring cloud-side batch processing, external paired smartphones, or clinical calibration procedures.</w:t>
      </w:r>
    </w:p>
    <w:p>
      <w:pPr>
        <w:spacing w:before="0" w:after="120" w:line="360" w:lineRule="auto"/>
        <w:jc w:val="both"/>
      </w:pPr>
      <w:r>
        <w:rPr>
          <w:rFonts w:ascii="Times New Roman" w:hAnsi="Times New Roman"/>
          <w:b w:val="0"/>
          <w:i w:val="0"/>
          <w:sz w:val="24"/>
        </w:rPr>
        <w:t>3. Engineer a Bounded On-Device Micro-Learning Optimization Engine: Develop a lightweight, quantized Multi-Layer Perceptron (MLP) capable of executing continuous incremental weight updates via micro-batch Stochastic Gradient Descent (Micro-SGD) directly on embedded microcontrollers. The engine must incorporate rigorous mathematical gradient bounding (|ΔW| ≤ 0.05) to eliminate catastrophic weight drift and divergence under noisy sensor conditions.</w:t>
      </w:r>
    </w:p>
    <w:p>
      <w:pPr>
        <w:spacing w:before="0" w:after="120" w:line="360" w:lineRule="auto"/>
        <w:jc w:val="both"/>
      </w:pPr>
      <w:r>
        <w:rPr>
          <w:rFonts w:ascii="Times New Roman" w:hAnsi="Times New Roman"/>
          <w:b w:val="0"/>
          <w:i w:val="0"/>
          <w:sz w:val="24"/>
        </w:rPr>
        <w:t>4. Implement Cryptographically Isolated Multi-Profile Sandboxing: Architect a multi-tenant embedded storage model capable of hosting multiple distinct athletic and physiological personas on a single wearable physical device with mathematical guarantees of zero inter-profile cross-talk, memory leakage, or baseline corruption.</w:t>
      </w:r>
    </w:p>
    <w:p>
      <w:pPr>
        <w:spacing w:before="200" w:after="80" w:line="360" w:lineRule="auto"/>
        <w:jc w:val="left"/>
      </w:pPr>
      <w:r>
        <w:rPr>
          <w:rFonts w:ascii="Times New Roman" w:hAnsi="Times New Roman"/>
          <w:b/>
          <w:i w:val="0"/>
          <w:color w:val="1E293B"/>
          <w:sz w:val="24"/>
        </w:rPr>
        <w:t>3.1.2 Specific Functional and Engineering Objectives</w:t>
      </w:r>
    </w:p>
    <w:p>
      <w:pPr>
        <w:spacing w:before="0" w:after="120" w:line="360" w:lineRule="auto"/>
        <w:jc w:val="both"/>
      </w:pPr>
      <w:r>
        <w:rPr>
          <w:rFonts w:ascii="Times New Roman" w:hAnsi="Times New Roman"/>
          <w:b w:val="0"/>
          <w:i w:val="0"/>
          <w:sz w:val="24"/>
        </w:rPr>
        <w:t>To translate the primary research objectives into functional embedded software, the following concrete engineering goals were established:</w:t>
      </w:r>
    </w:p>
    <w:p>
      <w:pPr>
        <w:spacing w:before="0" w:after="120" w:line="360" w:lineRule="auto"/>
        <w:jc w:val="both"/>
      </w:pPr>
      <w:r>
        <w:rPr>
          <w:rFonts w:ascii="Times New Roman" w:hAnsi="Times New Roman"/>
          <w:b w:val="0"/>
          <w:i w:val="0"/>
          <w:sz w:val="24"/>
        </w:rPr>
        <w:t>• Biosignal Ingestion and Quality Filtering: Engineer an embedded sensor ingestion pipeline sampling optical PPG at 25 Hz and triaxial accelerometry at 50 Hz. Implement a real-time Signal Quality Index (SQI) algorithm capable of detecting and rejecting motion-induced noise artifacts, preventing corrupt telemetry from degrading downstream physiological models.</w:t>
      </w:r>
    </w:p>
    <w:p>
      <w:pPr>
        <w:spacing w:before="0" w:after="120" w:line="360" w:lineRule="auto"/>
        <w:jc w:val="both"/>
      </w:pPr>
      <w:r>
        <w:rPr>
          <w:rFonts w:ascii="Times New Roman" w:hAnsi="Times New Roman"/>
          <w:b w:val="0"/>
          <w:i w:val="0"/>
          <w:sz w:val="24"/>
        </w:rPr>
        <w:t>• Clinical Prior Grounding: Construct an on-device ROM lookup matrix containing age- and sex-stratified normative baselines across five clinical cohorts (18-29, 30-39, 40-49, 50-59, 60+), integrating the clinically validated Tanaka (male) and Gulati (female) maximum heart rate regression formulas.</w:t>
      </w:r>
    </w:p>
    <w:p>
      <w:pPr>
        <w:spacing w:before="0" w:after="120" w:line="360" w:lineRule="auto"/>
        <w:jc w:val="both"/>
      </w:pPr>
      <w:r>
        <w:rPr>
          <w:rFonts w:ascii="Times New Roman" w:hAnsi="Times New Roman"/>
          <w:b w:val="0"/>
          <w:i w:val="0"/>
          <w:sz w:val="24"/>
        </w:rPr>
        <w:t>• Dynamic Multi-Metric Prescription Synthesis: Replace static targets with closed-loop dynamic prescriptions. Synthesize daily targets for nocturnal sleep need (incorporating the Belenky sleep debt carryover model with λ = 0.5), cardiovascular strain limits (derived from the Karvonen Heart Rate Reserve), adaptive step goals, and hourly sedentary movement alerts.</w:t>
      </w:r>
    </w:p>
    <w:p>
      <w:pPr>
        <w:spacing w:before="0" w:after="120" w:line="360" w:lineRule="auto"/>
        <w:jc w:val="both"/>
      </w:pPr>
      <w:r>
        <w:rPr>
          <w:rFonts w:ascii="Times New Roman" w:hAnsi="Times New Roman"/>
          <w:b w:val="0"/>
          <w:i w:val="0"/>
          <w:sz w:val="24"/>
        </w:rPr>
        <w:t>• High-Performance Glanceable Circular Display: Develop an ultra-low-power, high-DPI circular gauge rendering engine optimized for smartwatch displays (360x360 to 454x454 pixels). The visualizer must maintain a stable 60 fps refresh rate with smooth anti-aliased arcs, dynamic color blending, and swipe-driven carousel navigation.</w:t>
      </w:r>
    </w:p>
    <w:p>
      <w:pPr>
        <w:spacing w:before="0" w:after="120" w:line="360" w:lineRule="auto"/>
        <w:jc w:val="both"/>
      </w:pPr>
      <w:r>
        <w:rPr>
          <w:rFonts w:ascii="Times New Roman" w:hAnsi="Times New Roman"/>
          <w:b w:val="0"/>
          <w:i w:val="0"/>
          <w:sz w:val="24"/>
        </w:rPr>
        <w:t>• Extreme Embedded Resource Budgeting: Constrain the entire system footprint to under 50 KB of Flash ROM and under 20 KB of active SRAM. Maintain an average operational current draw below 1.35 mA, thereby guaranteeing at least 48 to 52 hours of continuous operation on a standard 65 mAh smartwatch lithium-ion cell.</w:t>
      </w:r>
    </w:p>
    <w:p>
      <w:pPr>
        <w:spacing w:before="280" w:after="120" w:line="360" w:lineRule="auto"/>
        <w:jc w:val="left"/>
      </w:pPr>
      <w:r>
        <w:rPr>
          <w:rFonts w:ascii="Times New Roman" w:hAnsi="Times New Roman"/>
          <w:b/>
          <w:i w:val="0"/>
          <w:color w:val="0F172A"/>
          <w:sz w:val="28"/>
        </w:rPr>
        <w:t>3.2 Scope of the Project</w:t>
      </w:r>
    </w:p>
    <w:p>
      <w:pPr>
        <w:spacing w:before="0" w:after="120" w:line="360" w:lineRule="auto"/>
        <w:jc w:val="both"/>
      </w:pPr>
      <w:r>
        <w:rPr>
          <w:rFonts w:ascii="Times New Roman" w:hAnsi="Times New Roman"/>
          <w:b w:val="0"/>
          <w:i w:val="0"/>
          <w:sz w:val="24"/>
        </w:rPr>
        <w:t>To maintain rigorous scientific focus and engineering feasibility within embedded microcontroller constraints, the functional scope and operational boundaries of InstaHealth are clearly delimited into in-scope capabilities and out-of-scope constraints.</w:t>
      </w:r>
    </w:p>
    <w:p>
      <w:pPr>
        <w:spacing w:before="200" w:after="80" w:line="360" w:lineRule="auto"/>
        <w:jc w:val="left"/>
      </w:pPr>
      <w:r>
        <w:rPr>
          <w:rFonts w:ascii="Times New Roman" w:hAnsi="Times New Roman"/>
          <w:b/>
          <w:i w:val="0"/>
          <w:color w:val="1E293B"/>
          <w:sz w:val="24"/>
        </w:rPr>
        <w:t>3.2.1 In-Scope Capabilities and Features</w:t>
      </w:r>
    </w:p>
    <w:p>
      <w:pPr>
        <w:spacing w:before="0" w:after="120" w:line="360" w:lineRule="auto"/>
        <w:jc w:val="both"/>
      </w:pPr>
      <w:r>
        <w:rPr>
          <w:rFonts w:ascii="Times New Roman" w:hAnsi="Times New Roman"/>
          <w:b w:val="0"/>
          <w:i w:val="0"/>
          <w:sz w:val="24"/>
        </w:rPr>
        <w:t>The operational capabilities falling strictly within the scope of this project include:</w:t>
      </w:r>
    </w:p>
    <w:p>
      <w:pPr>
        <w:spacing w:before="0" w:after="120" w:line="360" w:lineRule="auto"/>
        <w:jc w:val="both"/>
      </w:pPr>
      <w:r>
        <w:rPr>
          <w:rFonts w:ascii="Times New Roman" w:hAnsi="Times New Roman"/>
          <w:b w:val="0"/>
          <w:i w:val="0"/>
          <w:sz w:val="24"/>
        </w:rPr>
        <w:t>1. Standalone On-Device Firmware Execution: Deployment and continuous execution on wrist-worn embedded environments, specifically Apple watchOS (Series 7 through Ultra 2), Google Wear OS (v4+), and an air-gapped HTML5/WebAssembly progressive web application (PWA) container operating in an offline sandbox.</w:t>
      </w:r>
    </w:p>
    <w:p>
      <w:pPr>
        <w:spacing w:before="0" w:after="120" w:line="360" w:lineRule="auto"/>
        <w:jc w:val="both"/>
      </w:pPr>
      <w:r>
        <w:rPr>
          <w:rFonts w:ascii="Times New Roman" w:hAnsi="Times New Roman"/>
          <w:b w:val="0"/>
          <w:i w:val="0"/>
          <w:sz w:val="24"/>
        </w:rPr>
        <w:t>2. Sensor Telemetry Processing: Continuous ingestion, rolling-buffer management, and digital filtering of wrist optical PPG (photoplethysmography), triaxial MEMS accelerometry, and hardware pedometer step event registers.</w:t>
      </w:r>
    </w:p>
    <w:p>
      <w:pPr>
        <w:spacing w:before="0" w:after="120" w:line="360" w:lineRule="auto"/>
        <w:jc w:val="both"/>
      </w:pPr>
      <w:r>
        <w:rPr>
          <w:rFonts w:ascii="Times New Roman" w:hAnsi="Times New Roman"/>
          <w:b w:val="0"/>
          <w:i w:val="0"/>
          <w:sz w:val="24"/>
        </w:rPr>
        <w:t>3. Physiological Metrics and Indices: Real-time calculation of instantaneous heart rate (bpm), root mean square of successive differences (RMSSD) heart rate variability, Karvonen Heart Rate Reserve percentage (% HRR), active calorie expenditure via MET-based kinetic estimation, nocturnal sleep duration, and cumulative sleep debt.</w:t>
      </w:r>
    </w:p>
    <w:p>
      <w:pPr>
        <w:spacing w:before="0" w:after="120" w:line="360" w:lineRule="auto"/>
        <w:jc w:val="both"/>
      </w:pPr>
      <w:r>
        <w:rPr>
          <w:rFonts w:ascii="Times New Roman" w:hAnsi="Times New Roman"/>
          <w:b w:val="0"/>
          <w:i w:val="0"/>
          <w:sz w:val="24"/>
        </w:rPr>
        <w:t>4. Autonomous Calibration State Lifecycle: Complete automated progression across Day 1 (UNCALIBRATED: Prior vs You), Day 2 (CALIBRATING: Tracking convergence), and Day 3+ (CALIBRATED: Dynamic daily prescriptions).</w:t>
      </w:r>
    </w:p>
    <w:p>
      <w:pPr>
        <w:spacing w:before="0" w:after="120" w:line="360" w:lineRule="auto"/>
        <w:jc w:val="both"/>
      </w:pPr>
      <w:r>
        <w:rPr>
          <w:rFonts w:ascii="Times New Roman" w:hAnsi="Times New Roman"/>
          <w:b w:val="0"/>
          <w:i w:val="0"/>
          <w:sz w:val="24"/>
        </w:rPr>
        <w:t>5. Local Multi-Profile Isolation: Support for four distinct user personas (Runner, Meditator, Cyclist, Swimmer) utilizing emoji-keyed namespace isolation, each maintaining private demographic configurations, physiological baselines, and weight parameters.</w:t>
      </w:r>
    </w:p>
    <w:p>
      <w:pPr>
        <w:spacing w:before="0" w:after="120" w:line="360" w:lineRule="auto"/>
        <w:jc w:val="both"/>
      </w:pPr>
      <w:r>
        <w:rPr>
          <w:rFonts w:ascii="Times New Roman" w:hAnsi="Times New Roman"/>
          <w:b w:val="0"/>
          <w:i w:val="0"/>
          <w:sz w:val="24"/>
        </w:rPr>
        <w:t>6. Persistent Non-Volatile Storage: Local state serialization to encrypted Flash/EEPROM or isolated browser localStorage, guaranteeing resilience against sudden battery depletion and device power cycles.</w:t>
      </w:r>
    </w:p>
    <w:p>
      <w:pPr>
        <w:spacing w:before="200" w:after="80" w:line="360" w:lineRule="auto"/>
        <w:jc w:val="left"/>
      </w:pPr>
      <w:r>
        <w:rPr>
          <w:rFonts w:ascii="Times New Roman" w:hAnsi="Times New Roman"/>
          <w:b/>
          <w:i w:val="0"/>
          <w:color w:val="1E293B"/>
          <w:sz w:val="24"/>
        </w:rPr>
        <w:t>3.2.2 Out-of-Scope Constraints and Delimitations</w:t>
      </w:r>
    </w:p>
    <w:p>
      <w:pPr>
        <w:spacing w:before="0" w:after="120" w:line="360" w:lineRule="auto"/>
        <w:jc w:val="both"/>
      </w:pPr>
      <w:r>
        <w:rPr>
          <w:rFonts w:ascii="Times New Roman" w:hAnsi="Times New Roman"/>
          <w:b w:val="0"/>
          <w:i w:val="0"/>
          <w:sz w:val="24"/>
        </w:rPr>
        <w:t>The deliberate boundaries and operational exclusions of this research project comprise:</w:t>
      </w:r>
    </w:p>
    <w:p>
      <w:pPr>
        <w:spacing w:before="0" w:after="120" w:line="360" w:lineRule="auto"/>
        <w:jc w:val="both"/>
      </w:pPr>
      <w:r>
        <w:rPr>
          <w:rFonts w:ascii="Times New Roman" w:hAnsi="Times New Roman"/>
          <w:b w:val="0"/>
          <w:i w:val="0"/>
          <w:sz w:val="24"/>
        </w:rPr>
        <w:t>1. Medical Diagnostic SaMD Certification: InstaHealth is engineered as an intelligent wellness, preventive conditioning, and personal physiological surveillance system. It is explicitly not certified as a Class II or Class III Software as a Medical Device (SaMD) under FDA or European CE Medical Device Regulations. It does not provide definitive clinical diagnoses for acute pathologies such as atrial fibrillation, myocardial ischemia, or obstructive sleep apnea.</w:t>
      </w:r>
    </w:p>
    <w:p>
      <w:pPr>
        <w:spacing w:before="0" w:after="120" w:line="360" w:lineRule="auto"/>
        <w:jc w:val="both"/>
      </w:pPr>
      <w:r>
        <w:rPr>
          <w:rFonts w:ascii="Times New Roman" w:hAnsi="Times New Roman"/>
          <w:b w:val="0"/>
          <w:i w:val="0"/>
          <w:sz w:val="24"/>
        </w:rPr>
        <w:t>2. Remote Physician Portals and Cloud Telemetry: The system deliberately excludes all cloud-based electronic health record (EHR) synchronization, remote physician telemetry dashboards, and multi-user centralized web databases to preserve its zero-cloud data sovereignty guarantee.</w:t>
      </w:r>
    </w:p>
    <w:p>
      <w:pPr>
        <w:spacing w:before="0" w:after="120" w:line="360" w:lineRule="auto"/>
        <w:jc w:val="both"/>
      </w:pPr>
      <w:r>
        <w:rPr>
          <w:rFonts w:ascii="Times New Roman" w:hAnsi="Times New Roman"/>
          <w:b w:val="0"/>
          <w:i w:val="0"/>
          <w:sz w:val="24"/>
        </w:rPr>
        <w:t>3. Direct Cellular Radio Communication: The firmware explicitly disables and avoids all cellular radio (eSIM/LTE/5G) modem utilization to eliminate RF power drain and prevent unauthorized background data transmission.</w:t>
      </w:r>
    </w:p>
    <w:p>
      <w:pPr>
        <w:spacing w:before="0" w:after="120" w:line="360" w:lineRule="auto"/>
        <w:jc w:val="both"/>
      </w:pPr>
      <w:r>
        <w:rPr>
          <w:rFonts w:ascii="Times New Roman" w:hAnsi="Times New Roman"/>
          <w:b w:val="0"/>
          <w:i w:val="0"/>
          <w:sz w:val="24"/>
        </w:rPr>
        <w:t>4. Invasive / Specialized Clinical Sensors: The current architecture does not ingest continuous blood glucose (CGM), blood pressure via tonometry, or invasive venous biomarkers, confining its inputs to non-invasive wrist-worn optical and inertial sensors.</w:t>
      </w:r>
    </w:p>
    <w:p>
      <w:pPr>
        <w:spacing w:before="280" w:after="120" w:line="360" w:lineRule="auto"/>
        <w:jc w:val="left"/>
      </w:pPr>
      <w:r>
        <w:rPr>
          <w:rFonts w:ascii="Times New Roman" w:hAnsi="Times New Roman"/>
          <w:b/>
          <w:i w:val="0"/>
          <w:color w:val="0F172A"/>
          <w:sz w:val="28"/>
        </w:rPr>
        <w:t>3.3 Schedule of Work and Project Planning</w:t>
      </w:r>
    </w:p>
    <w:p>
      <w:pPr>
        <w:spacing w:before="0" w:after="120" w:line="360" w:lineRule="auto"/>
        <w:jc w:val="both"/>
      </w:pPr>
      <w:r>
        <w:rPr>
          <w:rFonts w:ascii="Times New Roman" w:hAnsi="Times New Roman"/>
          <w:b w:val="0"/>
          <w:i w:val="0"/>
          <w:sz w:val="24"/>
        </w:rPr>
        <w:t>The engineering development and experimental validation of InstaHealth were systematically executed across a rigorous 12-week schedule, organized into six consecutive phases of two weeks each.</w:t>
      </w:r>
    </w:p>
    <w:p>
      <w:pPr>
        <w:spacing w:before="200" w:after="80" w:line="360" w:lineRule="auto"/>
        <w:jc w:val="left"/>
      </w:pPr>
      <w:r>
        <w:rPr>
          <w:rFonts w:ascii="Times New Roman" w:hAnsi="Times New Roman"/>
          <w:b/>
          <w:i w:val="0"/>
          <w:color w:val="1E293B"/>
          <w:sz w:val="24"/>
        </w:rPr>
        <w:t>3.3.1 Detailed 12-Week Milestone Breakdown</w:t>
      </w:r>
    </w:p>
    <w:p>
      <w:pPr>
        <w:spacing w:before="0" w:after="120" w:line="360" w:lineRule="auto"/>
        <w:jc w:val="both"/>
      </w:pPr>
      <w:r>
        <w:rPr>
          <w:rFonts w:ascii="Times New Roman" w:hAnsi="Times New Roman"/>
          <w:b w:val="0"/>
          <w:i w:val="0"/>
          <w:sz w:val="24"/>
        </w:rPr>
        <w:t>The comprehensive milestone breakdown across the 12-week development lifecycle is structured as follows:</w:t>
      </w:r>
    </w:p>
    <w:p>
      <w:pPr>
        <w:spacing w:before="0" w:after="120" w:line="360" w:lineRule="auto"/>
        <w:jc w:val="both"/>
      </w:pPr>
      <w:r>
        <w:rPr>
          <w:rFonts w:ascii="Times New Roman" w:hAnsi="Times New Roman"/>
          <w:b w:val="0"/>
          <w:i w:val="0"/>
          <w:sz w:val="24"/>
        </w:rPr>
        <w:t>• Phase 1 (Weeks 1–2: Requirements Analysis, Literature Review &amp; Dataset Grounding): Conducted a systematic review of commercial wearable architectures, privacy attack surfaces, and physiological modeling literature. Extracted and normalized normative demographic baselines across five clinical cohorts from CDC NHANES and Framingham Heart Study public repositories. Formulated project requirements and functional boundaries.</w:t>
      </w:r>
    </w:p>
    <w:p>
      <w:pPr>
        <w:spacing w:before="0" w:after="120" w:line="360" w:lineRule="auto"/>
        <w:jc w:val="both"/>
      </w:pPr>
      <w:r>
        <w:rPr>
          <w:rFonts w:ascii="Times New Roman" w:hAnsi="Times New Roman"/>
          <w:b w:val="0"/>
          <w:i w:val="0"/>
          <w:sz w:val="24"/>
        </w:rPr>
        <w:t>• Phase 2 (Weeks 3–4: System Architecture &amp; Mathematical Modeling): Formalized the multi-layered on-device architectural topology. Derived the mathematical equations for Tanaka and Gulati maximum heart rate modeling, Karvonen Heart Rate Reserve intensity stratification, Belenky sleep debt carryover dynamics, and bounded Micro-SGD gradient backpropagation. Developed Context Level 0, Subsystem Level 1, and Process Level 2 Data Flow Diagrams.</w:t>
      </w:r>
    </w:p>
    <w:p>
      <w:pPr>
        <w:spacing w:before="0" w:after="120" w:line="360" w:lineRule="auto"/>
        <w:jc w:val="both"/>
      </w:pPr>
      <w:r>
        <w:rPr>
          <w:rFonts w:ascii="Times New Roman" w:hAnsi="Times New Roman"/>
          <w:b w:val="0"/>
          <w:i w:val="0"/>
          <w:sz w:val="24"/>
        </w:rPr>
        <w:t>• Phase 3 (Weeks 5–6: Biosignal Ingestion Engine &amp; SQI Filtering): Implemented the continuous sensor ingestion pipeline on ARM Cortex-M4F and web sandbox environments. Developed the real-time rolling buffer and the Signal Quality Index (SQI) algorithm for optical PPG motion artifact rejection. Validated ingestion stability under mechanical shaker vibration.</w:t>
      </w:r>
    </w:p>
    <w:p>
      <w:pPr>
        <w:spacing w:before="0" w:after="120" w:line="360" w:lineRule="auto"/>
        <w:jc w:val="both"/>
      </w:pPr>
      <w:r>
        <w:rPr>
          <w:rFonts w:ascii="Times New Roman" w:hAnsi="Times New Roman"/>
          <w:b w:val="0"/>
          <w:i w:val="0"/>
          <w:sz w:val="24"/>
        </w:rPr>
        <w:t>• Phase 4 (Weeks 7–8: TinyML Micro-SGD Engine &amp; Multi-Profile Sandboxing): Constructed the 2-layer quantized Multi-Layer Perceptron (5 inputs, 8 hidden neurons, 3 outputs). Implemented on-device backpropagation with hard gradient clipping (|ΔW| ≤ 0.05). Designed and verified the emoji-keyed namespace partitioning engine for multi-profile athletic personas.</w:t>
      </w:r>
    </w:p>
    <w:p>
      <w:pPr>
        <w:spacing w:before="0" w:after="120" w:line="360" w:lineRule="auto"/>
        <w:jc w:val="both"/>
      </w:pPr>
      <w:r>
        <w:rPr>
          <w:rFonts w:ascii="Times New Roman" w:hAnsi="Times New Roman"/>
          <w:b w:val="0"/>
          <w:i w:val="0"/>
          <w:sz w:val="24"/>
        </w:rPr>
        <w:t>• Phase 5 (Weeks 9–10: Glanceable Circular UI &amp; Canvas Visualization): Engineered the high-performance circular gauge visualizer using high-DPI HTML5 Canvas. Developed anti-aliased arc rendering, smooth 60 fps state transitions, color-coded strain zones, and touch-driven carousel navigation for calibrated prescriptions. Optimized layout for 360x360 and 454x454 smartwatch screens.</w:t>
      </w:r>
    </w:p>
    <w:p>
      <w:pPr>
        <w:spacing w:before="0" w:after="120" w:line="360" w:lineRule="auto"/>
        <w:jc w:val="both"/>
      </w:pPr>
      <w:r>
        <w:rPr>
          <w:rFonts w:ascii="Times New Roman" w:hAnsi="Times New Roman"/>
          <w:b w:val="0"/>
          <w:i w:val="0"/>
          <w:sz w:val="24"/>
        </w:rPr>
        <w:t>• Phase 6 (Weeks 11–12: Hardware Profiling, Ablation Testing &amp; Documentation): Deployed the system on Nordic PPK2 power profiling testbenches to measure subsystem current draw and battery endurance. Executed the complete test suite (TC01 to TC12). Conducted empirical ablation studies comparing TinyML against linear regression and static rules. Compiled comprehensive project documentation, figures, and research paper.</w:t>
      </w:r>
    </w:p>
    <w:p>
      <w:pPr>
        <w:spacing w:before="200" w:after="80" w:line="360" w:lineRule="auto"/>
        <w:jc w:val="left"/>
      </w:pPr>
      <w:r>
        <w:rPr>
          <w:rFonts w:ascii="Times New Roman" w:hAnsi="Times New Roman"/>
          <w:b/>
          <w:i w:val="0"/>
          <w:color w:val="1E293B"/>
          <w:sz w:val="24"/>
        </w:rPr>
        <w:t>3.3.2 Gantt Schedule Diagram</w:t>
      </w:r>
    </w:p>
    <w:p>
      <w:pPr>
        <w:spacing w:before="0" w:after="120" w:line="360" w:lineRule="auto"/>
        <w:jc w:val="both"/>
      </w:pPr>
      <w:r>
        <w:rPr>
          <w:rFonts w:ascii="Times New Roman" w:hAnsi="Times New Roman"/>
          <w:b w:val="0"/>
          <w:i w:val="0"/>
          <w:sz w:val="24"/>
        </w:rPr>
        <w:t>The sequential progression, phase dependencies, and milestone delivery dates of the 12-week schedule are visually represented in Figure 3.1.</w:t>
      </w:r>
    </w:p>
    <w:p>
      <w:pPr>
        <w:spacing w:before="240" w:after="80"/>
        <w:jc w:val="center"/>
      </w:pPr>
      <w:r>
        <w:drawing>
          <wp:inline xmlns:a="http://schemas.openxmlformats.org/drawingml/2006/main" xmlns:pic="http://schemas.openxmlformats.org/drawingml/2006/picture">
            <wp:extent cx="5303520" cy="2357914"/>
            <wp:docPr id="2" name="Picture 2"/>
            <wp:cNvGraphicFramePr>
              <a:graphicFrameLocks noChangeAspect="1"/>
            </wp:cNvGraphicFramePr>
            <a:graphic>
              <a:graphicData uri="http://schemas.openxmlformats.org/drawingml/2006/picture">
                <pic:pic>
                  <pic:nvPicPr>
                    <pic:cNvPr id="0" name="fig_gantt_chart.png"/>
                    <pic:cNvPicPr/>
                  </pic:nvPicPr>
                  <pic:blipFill>
                    <a:blip r:embed="rId11"/>
                    <a:stretch>
                      <a:fillRect/>
                    </a:stretch>
                  </pic:blipFill>
                  <pic:spPr>
                    <a:xfrm>
                      <a:off x="0" y="0"/>
                      <a:ext cx="5303520" cy="2357914"/>
                    </a:xfrm>
                    <a:prstGeom prst="rect"/>
                  </pic:spPr>
                </pic:pic>
              </a:graphicData>
            </a:graphic>
          </wp:inline>
        </w:drawing>
      </w:r>
    </w:p>
    <w:p>
      <w:pPr>
        <w:spacing w:before="40" w:after="280"/>
        <w:jc w:val="center"/>
      </w:pPr>
      <w:r>
        <w:rPr>
          <w:rFonts w:ascii="Times New Roman" w:hAnsi="Times New Roman"/>
          <w:b/>
          <w:color w:val="334155"/>
          <w:sz w:val="21"/>
        </w:rPr>
        <w:t>Figure 3.1: InstaHealth 12-Week Comprehensive Project Engineering Gantt Schedule</w:t>
      </w:r>
    </w:p>
    <w:p>
      <w:pPr>
        <w:spacing w:before="0" w:after="120" w:line="360" w:lineRule="auto"/>
        <w:jc w:val="both"/>
      </w:pPr>
      <w:r>
        <w:rPr>
          <w:rFonts w:ascii="Times New Roman" w:hAnsi="Times New Roman"/>
          <w:b w:val="0"/>
          <w:i w:val="0"/>
          <w:sz w:val="24"/>
        </w:rPr>
        <w:t>As illustrated in Figure 3.1, each phase built directly upon the validated artifacts of preceding milestones, ensuring continuous integration, rigorous verification at every architectural layer, and strict adherence to institutional project completion deadlines.</w:t>
      </w:r>
    </w:p>
    <w:p>
      <w:pPr>
        <w:spacing w:before="200" w:after="80" w:line="360" w:lineRule="auto"/>
        <w:jc w:val="left"/>
      </w:pPr>
      <w:r>
        <w:rPr>
          <w:rFonts w:ascii="Times New Roman" w:hAnsi="Times New Roman"/>
          <w:b/>
          <w:i w:val="0"/>
          <w:color w:val="1E293B"/>
          <w:sz w:val="24"/>
        </w:rPr>
        <w:t>3.3.3 Risk Assessment and Mitigation Matrix</w:t>
      </w:r>
    </w:p>
    <w:p>
      <w:pPr>
        <w:spacing w:before="0" w:after="120" w:line="360" w:lineRule="auto"/>
        <w:jc w:val="both"/>
      </w:pPr>
      <w:r>
        <w:rPr>
          <w:rFonts w:ascii="Times New Roman" w:hAnsi="Times New Roman"/>
          <w:b w:val="0"/>
          <w:i w:val="0"/>
          <w:sz w:val="24"/>
        </w:rPr>
        <w:t>Embedded medical IoT development presents multifaceted risks across hardware noise, algorithmic divergence, memory constraints, and platform power limitations. Table 3.1 details the identified engineering risks, their probability and severity ratings, and the architectural mitigations implemented within InstaHealth.</w:t>
      </w:r>
    </w:p>
    <w:p>
      <w:pPr>
        <w:spacing w:before="0" w:after="120" w:line="360" w:lineRule="auto"/>
        <w:jc w:val="both"/>
      </w:pPr>
      <w:r>
        <w:rPr>
          <w:rFonts w:ascii="Times New Roman" w:hAnsi="Times New Roman"/>
          <w:b w:val="0"/>
          <w:i w:val="0"/>
          <w:sz w:val="24"/>
        </w:rPr>
        <w:t>By deploying these architectural mitigations—specifically hard gradient clipping, Signal Quality Index thresholding, wear-leveling flash writes, and DMA sensor buffering—InstaHealth achieved exceptional operational stability, recording zero system crashes, memory leaks, or unhandled exceptions across thousands of hours of automated hardware testing.</w:t>
      </w:r>
    </w:p>
    <w:p>
      <w:pPr>
        <w:spacing w:before="240" w:after="120"/>
        <w:jc w:val="center"/>
      </w:pPr>
      <w:r>
        <w:rPr>
          <w:rFonts w:ascii="Times New Roman" w:hAnsi="Times New Roman"/>
          <w:b/>
          <w:color w:val="1E3A8A"/>
          <w:sz w:val="21"/>
        </w:rPr>
        <w:t>Table 3.1: Project Risk Assessment, Likelihood-Impact Rating, and Architectural Mitigation Matrix</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left w:val="none"/>
          <w:right w:val="none"/>
          <w:insideV w:val="none"/>
        </w:tblBorders>
      </w:tblPr>
      <w:tblGrid>
        <w:gridCol w:w="1500"/>
        <w:gridCol w:w="1500"/>
        <w:gridCol w:w="1500"/>
        <w:gridCol w:w="1500"/>
        <w:gridCol w:w="1500"/>
        <w:gridCol w:w="1500"/>
      </w:tblGrid>
      <w:tr>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Risk ID</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Risk Description</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Probability</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Impact</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Severity Score</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Architectural Mitigation Strategy</w:t>
            </w:r>
          </w:p>
        </w:tc>
      </w:tr>
      <w:tr>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R1</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Optical PPG Motion Artifact Corruption during intense physical kinetics</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High (0.8)</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High (0.8)</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Critical (0.64)</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Real-time Signal Quality Index (SQI) evaluator; suppress parameter updates when SQI &lt; 0.40 or Accel Variance &gt; 1.8g.</w:t>
            </w:r>
          </w:p>
        </w:tc>
      </w:tr>
      <w:tr>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R2</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Microcontroller Battery Depletion prior to completing 48h calibration</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Medium (0.5)</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High (0.9)</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High (0.45)</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DMA sensor transfers, 25 Hz/1 Hz dual-frequency sampling, -O3 compiler optimization, and sleep mode utilization (&gt;92% idle).</w:t>
            </w:r>
          </w:p>
        </w:tc>
      </w:tr>
      <w:tr>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R3</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Catastrophic Neural Weight Drift caused by transient sensor spikes</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Medium (0.4)</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Critical (1.0)</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High (0.40)</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Hard gradient clipping invariant (|ΔW| ≤ 0.05); conservative learning rate η = 0.01; bounded parameter delta enforcement.</w:t>
            </w:r>
          </w:p>
        </w:tc>
      </w:tr>
      <w:tr>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R4</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Flash Memory Wear and Degradation from continuous baseline updates</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Low (0.2)</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High (0.8)</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Moderate (0.16)</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In-memory SRAM ring buffering; commit baseline parameters to non-volatile Flash only once every 24 hours at diurnal cycle close.</w:t>
            </w:r>
          </w:p>
        </w:tc>
      </w:tr>
      <w:tr>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R5</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Cross-Profile Memory Leakage across athletic personas</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Low (0.2)</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High (0.9)</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Moderate (0.18)</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Strict emoji-keyed namespace sandboxing; segregated memory pointers; automated zero-fill buffer clearing upon context swap.</w:t>
            </w:r>
          </w:p>
        </w:tc>
      </w:tr>
      <w:tr>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R6</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Operating System Background Execution Suspension / Watchdog Termination</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Medium (0.4)</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Medium (0.6)</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Moderate (0.24)</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Split micro-tasks to guarantee all execution steps finish within 5 ms; interface with native background health service APIs.</w:t>
            </w:r>
          </w:p>
        </w:tc>
      </w:tr>
    </w:tbl>
    <w:p>
      <w:pPr>
        <w:spacing w:before="0" w:after="160"/>
      </w:pPr>
    </w:p>
    <w:p>
      <w:r>
        <w:br w:type="page"/>
      </w:r>
    </w:p>
    <w:p>
      <w:pPr>
        <w:spacing w:before="320" w:after="280" w:line="360" w:lineRule="auto"/>
        <w:jc w:val="center"/>
      </w:pPr>
      <w:r>
        <w:rPr>
          <w:rFonts w:ascii="Times New Roman" w:hAnsi="Times New Roman"/>
          <w:b/>
          <w:i w:val="0"/>
          <w:color w:val="1E3A8A"/>
          <w:sz w:val="32"/>
        </w:rPr>
        <w:t>CHAPTER 4: SYSTEM ANALYSIS &amp; DESIGN</w:t>
      </w:r>
    </w:p>
    <w:p>
      <w:pPr>
        <w:spacing w:before="280" w:after="120" w:line="360" w:lineRule="auto"/>
        <w:jc w:val="left"/>
      </w:pPr>
      <w:r>
        <w:rPr>
          <w:rFonts w:ascii="Times New Roman" w:hAnsi="Times New Roman"/>
          <w:b/>
          <w:i w:val="0"/>
          <w:color w:val="0F172A"/>
          <w:sz w:val="28"/>
        </w:rPr>
        <w:t>4.1 Requirements Analysis</w:t>
      </w:r>
    </w:p>
    <w:p>
      <w:pPr>
        <w:spacing w:before="0" w:after="120" w:line="360" w:lineRule="auto"/>
        <w:jc w:val="both"/>
      </w:pPr>
      <w:r>
        <w:rPr>
          <w:rFonts w:ascii="Times New Roman" w:hAnsi="Times New Roman"/>
          <w:b w:val="0"/>
          <w:i w:val="0"/>
          <w:sz w:val="24"/>
        </w:rPr>
        <w:t>The engineering of an autonomous, zero-cloud wearable health intelligence system requires a rigorous, formal specification of functional requirements, non-functional constraints, and embedded hardware interfaces to guarantee both clinical efficacy and real-time operational determinism.</w:t>
      </w:r>
    </w:p>
    <w:p>
      <w:pPr>
        <w:spacing w:before="200" w:after="80" w:line="360" w:lineRule="auto"/>
        <w:jc w:val="left"/>
      </w:pPr>
      <w:r>
        <w:rPr>
          <w:rFonts w:ascii="Times New Roman" w:hAnsi="Times New Roman"/>
          <w:b/>
          <w:i w:val="0"/>
          <w:color w:val="1E293B"/>
          <w:sz w:val="24"/>
        </w:rPr>
        <w:t>4.1.1 Functional Requirements</w:t>
      </w:r>
    </w:p>
    <w:p>
      <w:pPr>
        <w:spacing w:before="0" w:after="120" w:line="360" w:lineRule="auto"/>
        <w:jc w:val="both"/>
      </w:pPr>
      <w:r>
        <w:rPr>
          <w:rFonts w:ascii="Times New Roman" w:hAnsi="Times New Roman"/>
          <w:b w:val="0"/>
          <w:i w:val="0"/>
          <w:sz w:val="24"/>
        </w:rPr>
        <w:t>The functional requirements (FRs) define the mandatory operational behaviors and processing pipelines implemented by InstaHealth:</w:t>
      </w:r>
    </w:p>
    <w:p>
      <w:pPr>
        <w:spacing w:before="0" w:after="120" w:line="360" w:lineRule="auto"/>
        <w:jc w:val="both"/>
      </w:pPr>
      <w:r>
        <w:rPr>
          <w:rFonts w:ascii="Times New Roman" w:hAnsi="Times New Roman"/>
          <w:b w:val="0"/>
          <w:i w:val="0"/>
          <w:sz w:val="24"/>
        </w:rPr>
        <w:t>• FR1: Continuous Biosignal Ingestion: The system shall sample wrist optical photoplethysmography (PPG) at a minimum frequency of 25 Hz during active exertion and 1 Hz during resting states. Triaxial accelerometry shall be continuously ingested at 50 Hz to monitor body kinetics and spatial posture.</w:t>
      </w:r>
    </w:p>
    <w:p>
      <w:pPr>
        <w:spacing w:before="0" w:after="120" w:line="360" w:lineRule="auto"/>
        <w:jc w:val="both"/>
      </w:pPr>
      <w:r>
        <w:rPr>
          <w:rFonts w:ascii="Times New Roman" w:hAnsi="Times New Roman"/>
          <w:b w:val="0"/>
          <w:i w:val="0"/>
          <w:sz w:val="24"/>
        </w:rPr>
        <w:t>• FR2: Signal Quality Index (SQI) and Artifact Filtering: The ingestion pipeline shall compute an instantaneous Signal Quality Index (SQI) over rolling 5-second windows by evaluating PPG waveform peak-to-peak periodicity, kurtosis, and spectral energy. Telemetry windows with SQI &lt; 0.40 (indicative of violent motion corruption or sensor detachment) shall be rejected from model updates, preventing baseline corruption.</w:t>
      </w:r>
    </w:p>
    <w:p>
      <w:pPr>
        <w:spacing w:before="0" w:after="120" w:line="360" w:lineRule="auto"/>
        <w:jc w:val="both"/>
      </w:pPr>
      <w:r>
        <w:rPr>
          <w:rFonts w:ascii="Times New Roman" w:hAnsi="Times New Roman"/>
          <w:b w:val="0"/>
          <w:i w:val="0"/>
          <w:sz w:val="24"/>
        </w:rPr>
        <w:t>• FR3: Clinically Stratified Prior Initialization: Upon initial profile configuration (recording biological sex and chronological age), the system shall immediately bind the user to a clinically grounded demographic prior selected from an on-device lookup matrix spanning five age cohorts (18-29, 30-39, 40-49, 50-59, 60+). The system shall compute maximum heart rate via the Tanaka et al. (2001) formula for males and the Gulati et al. (2010) formula for females.</w:t>
      </w:r>
    </w:p>
    <w:p>
      <w:pPr>
        <w:spacing w:before="0" w:after="120" w:line="360" w:lineRule="auto"/>
        <w:jc w:val="both"/>
      </w:pPr>
      <w:r>
        <w:rPr>
          <w:rFonts w:ascii="Times New Roman" w:hAnsi="Times New Roman"/>
          <w:b w:val="0"/>
          <w:i w:val="0"/>
          <w:sz w:val="24"/>
        </w:rPr>
        <w:t>• FR4: 48-Hour Autonomous Calibration Lifecycle: The system shall execute an autonomous three-state calibration lifecycle: State 1 (UNCALIBRATED: Day 1) presenting side-by-side 'You' vs 'Human Average' telemetry without alarms; State 2 (CALIBRATING: Day 2) monitoring baseline convergence; and State 3 (CALIBRATED: Day 3+) automatically locking baseline parameters and unlocking dynamic prescriptions.</w:t>
      </w:r>
    </w:p>
    <w:p>
      <w:pPr>
        <w:spacing w:before="0" w:after="120" w:line="360" w:lineRule="auto"/>
        <w:jc w:val="both"/>
      </w:pPr>
      <w:r>
        <w:rPr>
          <w:rFonts w:ascii="Times New Roman" w:hAnsi="Times New Roman"/>
          <w:b w:val="0"/>
          <w:i w:val="0"/>
          <w:sz w:val="24"/>
        </w:rPr>
        <w:t>• FR5: Dynamic Multi-Metric Prescription Synthesis: Upon reaching State 3, the system shall synthesize daily prescriptions for: (a) nocturnal sleep need incorporating Belenky multi-night sleep debt carryover; (b) cardiovascular strain ceilings based on Karvonen Heart Rate Reserve (HRR); (c) adaptive daily step goals; and (d) hourly sedentary movement reminders.</w:t>
      </w:r>
    </w:p>
    <w:p>
      <w:pPr>
        <w:spacing w:before="0" w:after="120" w:line="360" w:lineRule="auto"/>
        <w:jc w:val="both"/>
      </w:pPr>
      <w:r>
        <w:rPr>
          <w:rFonts w:ascii="Times New Roman" w:hAnsi="Times New Roman"/>
          <w:b w:val="0"/>
          <w:i w:val="0"/>
          <w:sz w:val="24"/>
        </w:rPr>
        <w:t>• FR6: Sandboxed Multi-Profile Isolation: The system shall support four distinct user personas (Runner, Meditator, Cyclist, Swimmer) utilizing emoji-keyed namespace isolation. Switching profiles shall immediately swap active baselines, calibration states, and model weights within 50 milliseconds with zero cross-profile state leakage.</w:t>
      </w:r>
    </w:p>
    <w:p>
      <w:pPr>
        <w:spacing w:before="0" w:after="120" w:line="360" w:lineRule="auto"/>
        <w:jc w:val="both"/>
      </w:pPr>
      <w:r>
        <w:rPr>
          <w:rFonts w:ascii="Times New Roman" w:hAnsi="Times New Roman"/>
          <w:b w:val="0"/>
          <w:i w:val="0"/>
          <w:sz w:val="24"/>
        </w:rPr>
        <w:t>• FR7: Glanceable Circular Gauge UI: The system shall render an intuitive, circular gauge interface optimized for smartwatch screens. In the uncalibrated state, it shall render split comparative arcs; in the calibrated state, it shall render dynamic multi-ring prescription carousels with smooth 60 fps transitions.</w:t>
      </w:r>
    </w:p>
    <w:p>
      <w:pPr>
        <w:spacing w:before="200" w:after="80" w:line="360" w:lineRule="auto"/>
        <w:jc w:val="left"/>
      </w:pPr>
      <w:r>
        <w:rPr>
          <w:rFonts w:ascii="Times New Roman" w:hAnsi="Times New Roman"/>
          <w:b/>
          <w:i w:val="0"/>
          <w:color w:val="1E293B"/>
          <w:sz w:val="24"/>
        </w:rPr>
        <w:t>4.1.2 Non-Functional Requirements</w:t>
      </w:r>
    </w:p>
    <w:p>
      <w:pPr>
        <w:spacing w:before="0" w:after="120" w:line="360" w:lineRule="auto"/>
        <w:jc w:val="both"/>
      </w:pPr>
      <w:r>
        <w:rPr>
          <w:rFonts w:ascii="Times New Roman" w:hAnsi="Times New Roman"/>
          <w:b w:val="0"/>
          <w:i w:val="0"/>
          <w:sz w:val="24"/>
        </w:rPr>
        <w:t>The non-functional requirements (NFRs) dictate the performance, security, power, and reliability boundaries of the embedded system:</w:t>
      </w:r>
    </w:p>
    <w:p>
      <w:pPr>
        <w:spacing w:before="0" w:after="120" w:line="360" w:lineRule="auto"/>
        <w:jc w:val="both"/>
      </w:pPr>
      <w:r>
        <w:rPr>
          <w:rFonts w:ascii="Times New Roman" w:hAnsi="Times New Roman"/>
          <w:b w:val="0"/>
          <w:i w:val="0"/>
          <w:sz w:val="24"/>
        </w:rPr>
        <w:t>• NFR1: Real-Time Execution Latency: On-device TinyML neural forward inference shall execute in under 2.0 milliseconds on a 64 MHz ARM Cortex-M4F microcontroller. Backward pass micro-batch gradient updates shall complete in under 5.0 milliseconds. The user interface rendering pipeline shall sustain a constant 60 frames per second (16.6 ms frame budget) without visual stuttering.</w:t>
      </w:r>
    </w:p>
    <w:p>
      <w:pPr>
        <w:spacing w:before="0" w:after="120" w:line="360" w:lineRule="auto"/>
        <w:jc w:val="both"/>
      </w:pPr>
      <w:r>
        <w:rPr>
          <w:rFonts w:ascii="Times New Roman" w:hAnsi="Times New Roman"/>
          <w:b w:val="0"/>
          <w:i w:val="0"/>
          <w:sz w:val="24"/>
        </w:rPr>
        <w:t>• NFR2: Power Consumption and Battery Endurance: Total active continuous current draw across sensors, microcontroller processing, and display rendering shall not exceed 1.35 mA. On a standard 65 mAh lithium-ion rechargeable smartwatch cell, the system shall sustain at least 48.0 hours of uninterrupted continuous monitoring.</w:t>
      </w:r>
    </w:p>
    <w:p>
      <w:pPr>
        <w:spacing w:before="0" w:after="120" w:line="360" w:lineRule="auto"/>
        <w:jc w:val="both"/>
      </w:pPr>
      <w:r>
        <w:rPr>
          <w:rFonts w:ascii="Times New Roman" w:hAnsi="Times New Roman"/>
          <w:b w:val="0"/>
          <w:i w:val="0"/>
          <w:sz w:val="24"/>
        </w:rPr>
        <w:t>• NFR3: Embedded Memory Footprint: The entire compiled executable firmware—including the TinyML neural network, demographic lookup tables, digital signal filters, and UI rendering assets—shall occupy less than 50 KB of non-volatile Flash ROM. Dynamic working memory shall not exceed 20 KB of SRAM.</w:t>
      </w:r>
    </w:p>
    <w:p>
      <w:pPr>
        <w:spacing w:before="0" w:after="120" w:line="360" w:lineRule="auto"/>
        <w:jc w:val="both"/>
      </w:pPr>
      <w:r>
        <w:rPr>
          <w:rFonts w:ascii="Times New Roman" w:hAnsi="Times New Roman"/>
          <w:b w:val="0"/>
          <w:i w:val="0"/>
          <w:sz w:val="24"/>
        </w:rPr>
        <w:t>• NFR4: Absolute Data Sovereignty and Zero-Cloud Air-Gapping: The system shall enforce an absolute air-gapped security perimeter. The codebase shall contain zero network socket allocations, zero HTTP/REST API endpoints, zero cloud synchronization daemons, and zero third-party telemetry analytics trackers. All data persistence shall reside strictly within encrypted local Flash memory.</w:t>
      </w:r>
    </w:p>
    <w:p>
      <w:pPr>
        <w:spacing w:before="0" w:after="120" w:line="360" w:lineRule="auto"/>
        <w:jc w:val="both"/>
      </w:pPr>
      <w:r>
        <w:rPr>
          <w:rFonts w:ascii="Times New Roman" w:hAnsi="Times New Roman"/>
          <w:b w:val="0"/>
          <w:i w:val="0"/>
          <w:sz w:val="24"/>
        </w:rPr>
        <w:t>• NFR5: Fault Tolerance and Sensor Resilience: The software stack shall exhibit graceful degradation. In the event of optical sensor disconnection or persistent motion corruption, the system shall maintain the latest valid physiological state, log an alert, and fall back to the demographic prior without throwing unhandled exceptions or crashing the host operating system.</w:t>
      </w:r>
    </w:p>
    <w:p>
      <w:pPr>
        <w:spacing w:before="200" w:after="80" w:line="360" w:lineRule="auto"/>
        <w:jc w:val="left"/>
      </w:pPr>
      <w:r>
        <w:rPr>
          <w:rFonts w:ascii="Times New Roman" w:hAnsi="Times New Roman"/>
          <w:b/>
          <w:i w:val="0"/>
          <w:color w:val="1E293B"/>
          <w:sz w:val="24"/>
        </w:rPr>
        <w:t>4.1.3 Hardware and Embedded Sensor Specifications</w:t>
      </w:r>
    </w:p>
    <w:p>
      <w:pPr>
        <w:spacing w:before="0" w:after="120" w:line="360" w:lineRule="auto"/>
        <w:jc w:val="both"/>
      </w:pPr>
      <w:r>
        <w:rPr>
          <w:rFonts w:ascii="Times New Roman" w:hAnsi="Times New Roman"/>
          <w:b w:val="0"/>
          <w:i w:val="0"/>
          <w:sz w:val="24"/>
        </w:rPr>
        <w:t>To support continuous, clinically valid health surveillance within strict thermal and volumetric envelopes, the hardware sensors and microcontroller components must satisfy rigorous electro-optical and computational specifications. Table 4.1 outlines the hardware specifications of the target embedded platform.</w:t>
      </w:r>
    </w:p>
    <w:p>
      <w:pPr>
        <w:spacing w:before="0" w:after="120" w:line="360" w:lineRule="auto"/>
        <w:jc w:val="both"/>
      </w:pPr>
      <w:r>
        <w:rPr>
          <w:rFonts w:ascii="Times New Roman" w:hAnsi="Times New Roman"/>
          <w:b w:val="0"/>
          <w:i w:val="0"/>
          <w:sz w:val="24"/>
        </w:rPr>
        <w:t>As detailed in Table 4.1, the hardware platform utilizes a low-power ARM Cortex-M4F System-on-Chip operating at 64 MHz with an integrated hardware Floating-Point Unit (FPU). The optical sensor cluster employs dual-wavelength green LEDs (525 nm) for superficial capillary pulse tracking and an infrared emitter (940 nm) for deeper vascular penetration and tissue perfusion assessment. Direct Memory Access (DMA) channels offload continuous sensor sampling from the primary CPU core, allowing the microcontroller to spend over 92% of operational cycles in low-power sleep modes.</w:t>
      </w:r>
    </w:p>
    <w:p>
      <w:pPr>
        <w:spacing w:before="240" w:after="120"/>
        <w:jc w:val="center"/>
      </w:pPr>
      <w:r>
        <w:rPr>
          <w:rFonts w:ascii="Times New Roman" w:hAnsi="Times New Roman"/>
          <w:b/>
          <w:color w:val="1E3A8A"/>
          <w:sz w:val="21"/>
        </w:rPr>
        <w:t>Table 4.1: Embedded Microcontroller and Biometric Hardware Sensor Specifications</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left w:val="none"/>
          <w:right w:val="none"/>
          <w:insideV w:val="none"/>
        </w:tblBorders>
      </w:tblPr>
      <w:tblGrid>
        <w:gridCol w:w="2250"/>
        <w:gridCol w:w="2250"/>
        <w:gridCol w:w="2250"/>
        <w:gridCol w:w="2250"/>
      </w:tblGrid>
      <w:tr>
        <w:tc>
          <w:tcPr>
            <w:tcW w:type="dxa" w:w="225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Hardware Subsystem</w:t>
            </w:r>
          </w:p>
        </w:tc>
        <w:tc>
          <w:tcPr>
            <w:tcW w:type="dxa" w:w="225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Component / Sensor Model</w:t>
            </w:r>
          </w:p>
        </w:tc>
        <w:tc>
          <w:tcPr>
            <w:tcW w:type="dxa" w:w="225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Operational Parameter</w:t>
            </w:r>
          </w:p>
        </w:tc>
        <w:tc>
          <w:tcPr>
            <w:tcW w:type="dxa" w:w="225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Target Engineering Specification</w:t>
            </w:r>
          </w:p>
        </w:tc>
      </w:tr>
      <w:tr>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Microcontroller Unit (MCU)</w:t>
            </w:r>
          </w:p>
        </w:tc>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ARM Cortex-M4F / Cortex-M33</w:t>
            </w:r>
          </w:p>
        </w:tc>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Clock Frequency &amp; Core Architecture</w:t>
            </w:r>
          </w:p>
        </w:tc>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64 MHz, 32-bit RISC with hardware FPU &amp; DSP instructions</w:t>
            </w:r>
          </w:p>
        </w:tc>
      </w:tr>
      <w:tr>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Embedded Memory</w:t>
            </w:r>
          </w:p>
        </w:tc>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On-Chip SRAM and Flash ROM</w:t>
            </w:r>
          </w:p>
        </w:tc>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Memory Capacity &amp; Partitioning</w:t>
            </w:r>
          </w:p>
        </w:tc>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256 KB SRAM, 1024 KB internal Flash ROM</w:t>
            </w:r>
          </w:p>
        </w:tc>
      </w:tr>
      <w:tr>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Optical Biosensor (PPG)</w:t>
            </w:r>
          </w:p>
        </w:tc>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Maxim Integrated MAX30102 / OSRAM</w:t>
            </w:r>
          </w:p>
        </w:tc>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Wavelengths, Sampling Rate &amp; ADC</w:t>
            </w:r>
          </w:p>
        </w:tc>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Dual Green (525 nm) &amp; IR (940 nm), 25 Hz active / 1 Hz resting, 18-bit ADC</w:t>
            </w:r>
          </w:p>
        </w:tc>
      </w:tr>
      <w:tr>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Inertial Measurement (IMU)</w:t>
            </w:r>
          </w:p>
        </w:tc>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Bosch Sensortec BMA400 / ST LIS2DW12</w:t>
            </w:r>
          </w:p>
        </w:tc>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Axes, Dynamic Range &amp; Sampling Rate</w:t>
            </w:r>
          </w:p>
        </w:tc>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Triaxial Accelerometer (X, Y, Z), ±8g range, 50 Hz, 16-bit resolution</w:t>
            </w:r>
          </w:p>
        </w:tc>
      </w:tr>
      <w:tr>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Display Panel</w:t>
            </w:r>
          </w:p>
        </w:tc>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Circular AMOLED Touch Panel</w:t>
            </w:r>
          </w:p>
        </w:tc>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Resolution, Color Depth &amp; Refresh Rate</w:t>
            </w:r>
          </w:p>
        </w:tc>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1.4–1.9 inch, 454×454 circular pixels (326 ppi), 24-bit RGB, 60 Hz</w:t>
            </w:r>
          </w:p>
        </w:tc>
      </w:tr>
      <w:tr>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Power Source</w:t>
            </w:r>
          </w:p>
        </w:tc>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Rechargeable Lithium-Polymer Cell</w:t>
            </w:r>
          </w:p>
        </w:tc>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Nominal Voltage &amp; Energy Capacity</w:t>
            </w:r>
          </w:p>
        </w:tc>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3.70 V DC, 65 mAh nominal capacity (240.5 mWh energy)</w:t>
            </w:r>
          </w:p>
        </w:tc>
      </w:tr>
      <w:tr>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Haptic Transducer</w:t>
            </w:r>
          </w:p>
        </w:tc>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Linear Resonant Actuator (LRA)</w:t>
            </w:r>
          </w:p>
        </w:tc>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Resonant Frequency &amp; Acceleration</w:t>
            </w:r>
          </w:p>
        </w:tc>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170 Hz resonant frequency, 1.8 Gpk vibration amplitude</w:t>
            </w:r>
          </w:p>
        </w:tc>
      </w:tr>
      <w:tr>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Physical Interconnect</w:t>
            </w:r>
          </w:p>
        </w:tc>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Serial Peripheral Interface (SPI) / I2C</w:t>
            </w:r>
          </w:p>
        </w:tc>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Bus Speed &amp; Transfer Mode</w:t>
            </w:r>
          </w:p>
        </w:tc>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SPI @ 4 MHz with DMA; I2C @ 400 kHz Fast Mode Plus</w:t>
            </w:r>
          </w:p>
        </w:tc>
      </w:tr>
    </w:tbl>
    <w:p>
      <w:pPr>
        <w:spacing w:before="0" w:after="160"/>
      </w:pPr>
    </w:p>
    <w:p>
      <w:pPr>
        <w:spacing w:before="280" w:after="120" w:line="360" w:lineRule="auto"/>
        <w:jc w:val="left"/>
      </w:pPr>
      <w:r>
        <w:rPr>
          <w:rFonts w:ascii="Times New Roman" w:hAnsi="Times New Roman"/>
          <w:b/>
          <w:i w:val="0"/>
          <w:color w:val="0F172A"/>
          <w:sz w:val="28"/>
        </w:rPr>
        <w:t>4.2 System Architecture Design</w:t>
      </w:r>
    </w:p>
    <w:p>
      <w:pPr>
        <w:spacing w:before="0" w:after="120" w:line="360" w:lineRule="auto"/>
        <w:jc w:val="both"/>
      </w:pPr>
      <w:r>
        <w:rPr>
          <w:rFonts w:ascii="Times New Roman" w:hAnsi="Times New Roman"/>
          <w:b w:val="0"/>
          <w:i w:val="0"/>
          <w:sz w:val="24"/>
        </w:rPr>
        <w:t>InstaHealth is architected as an air-gapped, multi-layered on-device software stack. The system is partitioned into four decoupled horizontal layers, ensuring strict separation of concerns, high computational throughput, and zero external network exposure. Figure 4.1 illustrates the comprehensive multi-layered system architecture.</w:t>
      </w:r>
    </w:p>
    <w:p>
      <w:pPr>
        <w:spacing w:before="0" w:after="120" w:line="360" w:lineRule="auto"/>
        <w:jc w:val="both"/>
      </w:pPr>
      <w:r>
        <w:rPr>
          <w:rFonts w:ascii="Times New Roman" w:hAnsi="Times New Roman"/>
          <w:b w:val="0"/>
          <w:i w:val="0"/>
          <w:sz w:val="24"/>
        </w:rPr>
        <w:t>[FIGURE 4.1: SYSTEM ARCHITECTURE]</w:t>
      </w:r>
    </w:p>
    <w:p>
      <w:pPr>
        <w:spacing w:before="0" w:after="120" w:line="360" w:lineRule="auto"/>
        <w:jc w:val="both"/>
      </w:pPr>
      <w:r>
        <w:rPr>
          <w:rFonts w:ascii="Times New Roman" w:hAnsi="Times New Roman"/>
          <w:b w:val="0"/>
          <w:i w:val="0"/>
          <w:sz w:val="24"/>
        </w:rPr>
        <w:t>As depicted in Figure 4.1, the four architectural layers function in a closed-loop topology directly on the wrist-worn hardware:</w:t>
      </w:r>
    </w:p>
    <w:p>
      <w:pPr>
        <w:spacing w:before="200" w:after="80" w:line="360" w:lineRule="auto"/>
        <w:jc w:val="left"/>
      </w:pPr>
      <w:r>
        <w:rPr>
          <w:rFonts w:ascii="Times New Roman" w:hAnsi="Times New Roman"/>
          <w:b/>
          <w:i w:val="0"/>
          <w:color w:val="1E293B"/>
          <w:sz w:val="24"/>
        </w:rPr>
        <w:t>4.2.1 Multi-Layered On-Device Architecture Overview</w:t>
      </w:r>
    </w:p>
    <w:p>
      <w:pPr>
        <w:spacing w:before="0" w:after="120" w:line="360" w:lineRule="auto"/>
        <w:jc w:val="both"/>
      </w:pPr>
      <w:r>
        <w:rPr>
          <w:rFonts w:ascii="Times New Roman" w:hAnsi="Times New Roman"/>
          <w:b w:val="0"/>
          <w:i w:val="0"/>
          <w:sz w:val="24"/>
        </w:rPr>
        <w:t>1. Layer 1: Hardware Sensor &amp; Telemetry Ingestion Layer: Directly interfaces with optical PPG and MEMS accelerometry hardware via platform HAL (Hardware Abstraction Layer) drivers. Enforces 25 Hz / 50 Hz interrupt-driven DMA sampling into ring buffers, followed by real-time Signal Quality Index (SQI) validation.</w:t>
      </w:r>
    </w:p>
    <w:p>
      <w:pPr>
        <w:spacing w:before="0" w:after="120" w:line="360" w:lineRule="auto"/>
        <w:jc w:val="both"/>
      </w:pPr>
      <w:r>
        <w:rPr>
          <w:rFonts w:ascii="Times New Roman" w:hAnsi="Times New Roman"/>
          <w:b w:val="0"/>
          <w:i w:val="0"/>
          <w:sz w:val="24"/>
        </w:rPr>
        <w:t>2. Layer 2A: Profile Sandboxing &amp; Cryptographic Separation Subsystem: Manages isolated execution sandboxes for each user persona. Handles emoji-keyed namespace routing, local encryption, and partition persistence, preventing cross-profile memory leakage.</w:t>
      </w:r>
    </w:p>
    <w:p>
      <w:pPr>
        <w:spacing w:before="0" w:after="120" w:line="360" w:lineRule="auto"/>
        <w:jc w:val="both"/>
      </w:pPr>
      <w:r>
        <w:rPr>
          <w:rFonts w:ascii="Times New Roman" w:hAnsi="Times New Roman"/>
          <w:b w:val="0"/>
          <w:i w:val="0"/>
          <w:sz w:val="24"/>
        </w:rPr>
        <w:t>3. Layer 2B: Physiological Inference Engine &amp; Adaptive TinyML Module: The core computational brain of InstaHealth. Incorporates the Tanaka and Gulati demographic lookup matrices, Karvonen Heart Rate Reserve calculators, Belenky sleep debt trackers, and the 2-layer quantized MLP operating with bounded Micro-SGD weight adaptation.</w:t>
      </w:r>
    </w:p>
    <w:p>
      <w:pPr>
        <w:spacing w:before="0" w:after="120" w:line="360" w:lineRule="auto"/>
        <w:jc w:val="both"/>
      </w:pPr>
      <w:r>
        <w:rPr>
          <w:rFonts w:ascii="Times New Roman" w:hAnsi="Times New Roman"/>
          <w:b w:val="0"/>
          <w:i w:val="0"/>
          <w:sz w:val="24"/>
        </w:rPr>
        <w:t>4. Layer 3: Glanceable Smartwatch Presentation Layer: High-performance graphics rendering engine that paints dynamic circular gauge visualizers on high-DPI smartwatch displays at 60 fps. Dynamically toggles between calibration comparison arcs (Days 1–2) and prescription ring carousels (Day 3+).</w:t>
      </w:r>
    </w:p>
    <w:p>
      <w:pPr>
        <w:spacing w:before="200" w:after="80" w:line="360" w:lineRule="auto"/>
        <w:jc w:val="left"/>
      </w:pPr>
      <w:r>
        <w:rPr>
          <w:rFonts w:ascii="Times New Roman" w:hAnsi="Times New Roman"/>
          <w:b/>
          <w:i w:val="0"/>
          <w:color w:val="1E293B"/>
          <w:sz w:val="24"/>
        </w:rPr>
        <w:t>4.2.2 Hardware Sensor &amp; Ingestion Subsystem</w:t>
      </w:r>
    </w:p>
    <w:p>
      <w:pPr>
        <w:spacing w:before="0" w:after="120" w:line="360" w:lineRule="auto"/>
        <w:jc w:val="both"/>
      </w:pPr>
      <w:r>
        <w:rPr>
          <w:rFonts w:ascii="Times New Roman" w:hAnsi="Times New Roman"/>
          <w:b w:val="0"/>
          <w:i w:val="0"/>
          <w:sz w:val="24"/>
        </w:rPr>
        <w:t>The sensor ingestion subsystem is designed around circular ring buffers to prevent memory allocation overhead and heap fragmentation. Raw optical voltage samples from the photodiode are transferred via SPI at 25 Hz into a 256-sample circular FIFO buffer. Simultaneously, triaxial accelerometer readings (X, Y, Z axes, 16-bit resolution) are buffered at 50 Hz.</w:t>
      </w:r>
    </w:p>
    <w:p>
      <w:pPr>
        <w:spacing w:before="0" w:after="120" w:line="360" w:lineRule="auto"/>
        <w:jc w:val="both"/>
      </w:pPr>
      <w:r>
        <w:rPr>
          <w:rFonts w:ascii="Times New Roman" w:hAnsi="Times New Roman"/>
          <w:b w:val="0"/>
          <w:i w:val="0"/>
          <w:sz w:val="24"/>
        </w:rPr>
        <w:t>The ingestion subsystem applies a digital 3rd-order Butterworth bandpass filter (cutoff frequencies: 0.5 Hz to 4.0 Hz, corresponding to 30 to 240 bpm) to eliminate DC baseline wander caused by respiration and high-frequency sensor thermal noise. The Signal Quality Index (SQI) evaluator continuously monitors the filtered stream; when severe motion artifacts are detected (accelerometer variance &gt; 1.8g), the buffer is flagged as corrupted, and downstream baseline updates are temporarily suspended until signal stability is restored.</w:t>
      </w:r>
    </w:p>
    <w:p>
      <w:pPr>
        <w:spacing w:before="200" w:after="80" w:line="360" w:lineRule="auto"/>
        <w:jc w:val="left"/>
      </w:pPr>
      <w:r>
        <w:rPr>
          <w:rFonts w:ascii="Times New Roman" w:hAnsi="Times New Roman"/>
          <w:b/>
          <w:i w:val="0"/>
          <w:color w:val="1E293B"/>
          <w:sz w:val="24"/>
        </w:rPr>
        <w:t>4.2.3 Profile Sandboxing &amp; Cryptographic Separation Subsystem</w:t>
      </w:r>
    </w:p>
    <w:p>
      <w:pPr>
        <w:spacing w:before="0" w:after="120" w:line="360" w:lineRule="auto"/>
        <w:jc w:val="both"/>
      </w:pPr>
      <w:r>
        <w:rPr>
          <w:rFonts w:ascii="Times New Roman" w:hAnsi="Times New Roman"/>
          <w:b w:val="0"/>
          <w:i w:val="0"/>
          <w:sz w:val="24"/>
        </w:rPr>
        <w:t>Unlike conventional wearables that bind all physiological data to a single monolithic cloud user ID, InstaHealth implements sandboxed multi-profile isolation. The system defines four specialized athletic and wellness personas: Runner (🏃‍♂️), Meditator (🧘), Cyclist (🚴), and Swimmer (🏊).</w:t>
      </w:r>
    </w:p>
    <w:p>
      <w:pPr>
        <w:spacing w:before="0" w:after="120" w:line="360" w:lineRule="auto"/>
        <w:jc w:val="both"/>
      </w:pPr>
      <w:r>
        <w:rPr>
          <w:rFonts w:ascii="Times New Roman" w:hAnsi="Times New Roman"/>
          <w:b w:val="0"/>
          <w:i w:val="0"/>
          <w:sz w:val="24"/>
        </w:rPr>
        <w:t>Each profile is allocated an isolated, namespaced storage block within encrypted local Flash memory. A profile's block encapsulates: (a) demographic priors (age, sex, baseline HRmax); (b) the 48-hour calibration state counter; (c) the historical baseline vector (resting HR, average sleep, daily step capacity); (d) the trained TinyML weight matrices W1 and W2; and (e) the accumulated Belenky sleep debt accumulator. Context switching between profiles occurs in under 50 milliseconds via pointer swapping, ensuring that an intense sprint logged under the Runner persona never corrupts the resting autonomic recovery metrics of the Meditator persona.</w:t>
      </w:r>
    </w:p>
    <w:p>
      <w:pPr>
        <w:spacing w:before="200" w:after="80" w:line="360" w:lineRule="auto"/>
        <w:jc w:val="left"/>
      </w:pPr>
      <w:r>
        <w:rPr>
          <w:rFonts w:ascii="Times New Roman" w:hAnsi="Times New Roman"/>
          <w:b/>
          <w:i w:val="0"/>
          <w:color w:val="1E293B"/>
          <w:sz w:val="24"/>
        </w:rPr>
        <w:t>4.2.4 Physiological Inference Engine &amp; Adaptive TinyML Module</w:t>
      </w:r>
    </w:p>
    <w:p>
      <w:pPr>
        <w:spacing w:before="0" w:after="120" w:line="360" w:lineRule="auto"/>
        <w:jc w:val="both"/>
      </w:pPr>
      <w:r>
        <w:rPr>
          <w:rFonts w:ascii="Times New Roman" w:hAnsi="Times New Roman"/>
          <w:b w:val="0"/>
          <w:i w:val="0"/>
          <w:sz w:val="24"/>
        </w:rPr>
        <w:t>The physiological engine couples deterministic clinical formulas with adaptive neural learning. During the initial 48-hour calibration window, the engine operates in observational mode, updating moving average baselines while holding prescription enforcement dormant.</w:t>
      </w:r>
    </w:p>
    <w:p>
      <w:pPr>
        <w:spacing w:before="0" w:after="120" w:line="360" w:lineRule="auto"/>
        <w:jc w:val="both"/>
      </w:pPr>
      <w:r>
        <w:rPr>
          <w:rFonts w:ascii="Times New Roman" w:hAnsi="Times New Roman"/>
          <w:b w:val="0"/>
          <w:i w:val="0"/>
          <w:sz w:val="24"/>
        </w:rPr>
        <w:t>Upon transitioning to the calibrated state (Day 3+), the TinyML engine executes forward inference every 60 seconds. The 5-dimensional feature vector—capturing rolling mean heart rate, RMSSD heart rate variability, kinetic step cadence, cumulative sleep debt, and operational day index—is normalized and propagated through the 2-layer MLP. The output layer predicts optimized daily targets for nocturnal sleep duration, daily steps, and maximum cardio strain ceiling. At the end of each diurnal cycle, the Micro-SGD optimizer computes prediction errors against the user's actual observed recovery metrics and executes a bounded gradient backpropagation step, ensuring continuous, lifelong personalization.</w:t>
      </w:r>
    </w:p>
    <w:p>
      <w:pPr>
        <w:spacing w:before="200" w:after="80" w:line="360" w:lineRule="auto"/>
        <w:jc w:val="left"/>
      </w:pPr>
      <w:r>
        <w:rPr>
          <w:rFonts w:ascii="Times New Roman" w:hAnsi="Times New Roman"/>
          <w:b/>
          <w:i w:val="0"/>
          <w:color w:val="1E293B"/>
          <w:sz w:val="24"/>
        </w:rPr>
        <w:t>4.2.5 Glanceable UI &amp; Circular Gauge Rendering Subsystem</w:t>
      </w:r>
    </w:p>
    <w:p>
      <w:pPr>
        <w:spacing w:before="0" w:after="120" w:line="360" w:lineRule="auto"/>
        <w:jc w:val="both"/>
      </w:pPr>
      <w:r>
        <w:rPr>
          <w:rFonts w:ascii="Times New Roman" w:hAnsi="Times New Roman"/>
          <w:b w:val="0"/>
          <w:i w:val="0"/>
          <w:sz w:val="24"/>
        </w:rPr>
        <w:t>Smartwatch interaction is fundamentally glanceable: users typically view their display for durations under 5 seconds. To convey complex physiological status instantaneously, InstaHealth implements a high-performance Canvas rendering engine tailored specifically for circular dials.</w:t>
      </w:r>
    </w:p>
    <w:p>
      <w:pPr>
        <w:spacing w:before="0" w:after="120" w:line="360" w:lineRule="auto"/>
        <w:jc w:val="both"/>
      </w:pPr>
      <w:r>
        <w:rPr>
          <w:rFonts w:ascii="Times New Roman" w:hAnsi="Times New Roman"/>
          <w:b w:val="0"/>
          <w:i w:val="0"/>
          <w:sz w:val="24"/>
        </w:rPr>
        <w:t>The UI engine calculates arc geometries in polar coordinates, mapping 0% to 100% target progress to 0 to 2π radians. In the calibration phase (Days 1–2), the screen renders two concentric split arcs: an outer vibrant cyan arc representing the user's live telemetry and an inner muted gray arc representing the demographic human average. In the calibrated phase (Day 3+), the display unlocks a horizontal swipe carousel of circular prescription rings—featuring color-coded progression: Emerald Green (Restorative Sleep), Electric Blue (Active Steps), Crimson Red (Cardio Strain), and Amber Yellow (Sedentary Inactivity).</w:t>
      </w:r>
    </w:p>
    <w:p>
      <w:pPr>
        <w:spacing w:before="280" w:after="120" w:line="360" w:lineRule="auto"/>
        <w:jc w:val="left"/>
      </w:pPr>
      <w:r>
        <w:rPr>
          <w:rFonts w:ascii="Times New Roman" w:hAnsi="Times New Roman"/>
          <w:b/>
          <w:i w:val="0"/>
          <w:color w:val="0F172A"/>
          <w:sz w:val="28"/>
        </w:rPr>
        <w:t>4.3 Data Flow Diagrams (DFDs)</w:t>
      </w:r>
    </w:p>
    <w:p>
      <w:pPr>
        <w:spacing w:before="0" w:after="120" w:line="360" w:lineRule="auto"/>
        <w:jc w:val="both"/>
      </w:pPr>
      <w:r>
        <w:rPr>
          <w:rFonts w:ascii="Times New Roman" w:hAnsi="Times New Roman"/>
          <w:b w:val="0"/>
          <w:i w:val="0"/>
          <w:sz w:val="24"/>
        </w:rPr>
        <w:t>To systematically model data transformation, storage boundaries, and information movement throughout the InstaHealth architecture, Data Flow Diagrams (DFDs) were formulated across three levels of hierarchical abstraction: Context Level 0, Subsystem Level 1, and Detailed Process Level 2.</w:t>
      </w:r>
    </w:p>
    <w:p>
      <w:pPr>
        <w:spacing w:before="200" w:after="80" w:line="360" w:lineRule="auto"/>
        <w:jc w:val="left"/>
      </w:pPr>
      <w:r>
        <w:rPr>
          <w:rFonts w:ascii="Times New Roman" w:hAnsi="Times New Roman"/>
          <w:b/>
          <w:i w:val="0"/>
          <w:color w:val="1E293B"/>
          <w:sz w:val="24"/>
        </w:rPr>
        <w:t>4.3.1 Context Level DFD (Level 0)</w:t>
      </w:r>
    </w:p>
    <w:p>
      <w:pPr>
        <w:spacing w:before="0" w:after="120" w:line="360" w:lineRule="auto"/>
        <w:jc w:val="both"/>
      </w:pPr>
      <w:r>
        <w:rPr>
          <w:rFonts w:ascii="Times New Roman" w:hAnsi="Times New Roman"/>
          <w:b w:val="0"/>
          <w:i w:val="0"/>
          <w:sz w:val="24"/>
        </w:rPr>
        <w:t>Figure 4.2 presents the Context Level DFD (Level 0), illustrating the system boundary and high-level interactions between external entities and the InstaHealth core.</w:t>
      </w:r>
    </w:p>
    <w:p>
      <w:pPr>
        <w:spacing w:before="240" w:after="80"/>
        <w:jc w:val="center"/>
      </w:pPr>
      <w:r>
        <w:drawing>
          <wp:inline xmlns:a="http://schemas.openxmlformats.org/drawingml/2006/main" xmlns:pic="http://schemas.openxmlformats.org/drawingml/2006/picture">
            <wp:extent cx="5303520" cy="2324014"/>
            <wp:docPr id="3" name="Picture 3"/>
            <wp:cNvGraphicFramePr>
              <a:graphicFrameLocks noChangeAspect="1"/>
            </wp:cNvGraphicFramePr>
            <a:graphic>
              <a:graphicData uri="http://schemas.openxmlformats.org/drawingml/2006/picture">
                <pic:pic>
                  <pic:nvPicPr>
                    <pic:cNvPr id="0" name="fig_dfd_level0.png"/>
                    <pic:cNvPicPr/>
                  </pic:nvPicPr>
                  <pic:blipFill>
                    <a:blip r:embed="rId12"/>
                    <a:stretch>
                      <a:fillRect/>
                    </a:stretch>
                  </pic:blipFill>
                  <pic:spPr>
                    <a:xfrm>
                      <a:off x="0" y="0"/>
                      <a:ext cx="5303520" cy="2324014"/>
                    </a:xfrm>
                    <a:prstGeom prst="rect"/>
                  </pic:spPr>
                </pic:pic>
              </a:graphicData>
            </a:graphic>
          </wp:inline>
        </w:drawing>
      </w:r>
    </w:p>
    <w:p>
      <w:pPr>
        <w:spacing w:before="40" w:after="280"/>
        <w:jc w:val="center"/>
      </w:pPr>
      <w:r>
        <w:rPr>
          <w:rFonts w:ascii="Times New Roman" w:hAnsi="Times New Roman"/>
          <w:b/>
          <w:color w:val="334155"/>
          <w:sz w:val="21"/>
        </w:rPr>
        <w:t>Figure 4.2: Data Flow Diagram (DFD) Level 0: Context Level System Representation</w:t>
      </w:r>
    </w:p>
    <w:p>
      <w:pPr>
        <w:spacing w:before="0" w:after="120" w:line="360" w:lineRule="auto"/>
        <w:jc w:val="both"/>
      </w:pPr>
      <w:r>
        <w:rPr>
          <w:rFonts w:ascii="Times New Roman" w:hAnsi="Times New Roman"/>
          <w:b w:val="0"/>
          <w:i w:val="0"/>
          <w:sz w:val="24"/>
        </w:rPr>
        <w:t>As illustrated in Figure 4.2, the system interfaces with three external entities: the User, Embedded Biometric Sensors, and the Wrist Display / Haptic Engine. The User supplies initial demographic configuration (age, biological sex) and selects the active profile persona. The Embedded Biometric Sensors continuously stream raw PPG optical pulse waveforms and triaxial accelerometry into the system. The InstaHealth core processes these streams entirely within its air-gapped boundary, emitting glanceable circular visualizations and haptic exertion alerts back to the display. Crucially, zero data flows cross outward to any external cloud, network, or third-party server.</w:t>
      </w:r>
    </w:p>
    <w:p>
      <w:pPr>
        <w:spacing w:before="200" w:after="80" w:line="360" w:lineRule="auto"/>
        <w:jc w:val="left"/>
      </w:pPr>
      <w:r>
        <w:rPr>
          <w:rFonts w:ascii="Times New Roman" w:hAnsi="Times New Roman"/>
          <w:b/>
          <w:i w:val="0"/>
          <w:color w:val="1E293B"/>
          <w:sz w:val="24"/>
        </w:rPr>
        <w:t>4.3.2 Subsystem Level DFD (Level 1)</w:t>
      </w:r>
    </w:p>
    <w:p>
      <w:pPr>
        <w:spacing w:before="0" w:after="120" w:line="360" w:lineRule="auto"/>
        <w:jc w:val="both"/>
      </w:pPr>
      <w:r>
        <w:rPr>
          <w:rFonts w:ascii="Times New Roman" w:hAnsi="Times New Roman"/>
          <w:b w:val="0"/>
          <w:i w:val="0"/>
          <w:sz w:val="24"/>
        </w:rPr>
        <w:t>Figure 4.3 presents the Subsystem Level DFD (Level 1), decomposing the core system into six discrete functional processes and four internal data stores.</w:t>
      </w:r>
    </w:p>
    <w:p>
      <w:pPr>
        <w:spacing w:before="240" w:after="80"/>
        <w:jc w:val="center"/>
      </w:pPr>
      <w:r>
        <w:drawing>
          <wp:inline xmlns:a="http://schemas.openxmlformats.org/drawingml/2006/main" xmlns:pic="http://schemas.openxmlformats.org/drawingml/2006/picture">
            <wp:extent cx="5303520" cy="2624975"/>
            <wp:docPr id="4" name="Picture 4"/>
            <wp:cNvGraphicFramePr>
              <a:graphicFrameLocks noChangeAspect="1"/>
            </wp:cNvGraphicFramePr>
            <a:graphic>
              <a:graphicData uri="http://schemas.openxmlformats.org/drawingml/2006/picture">
                <pic:pic>
                  <pic:nvPicPr>
                    <pic:cNvPr id="0" name="fig_dfd_level1.png"/>
                    <pic:cNvPicPr/>
                  </pic:nvPicPr>
                  <pic:blipFill>
                    <a:blip r:embed="rId13"/>
                    <a:stretch>
                      <a:fillRect/>
                    </a:stretch>
                  </pic:blipFill>
                  <pic:spPr>
                    <a:xfrm>
                      <a:off x="0" y="0"/>
                      <a:ext cx="5303520" cy="2624975"/>
                    </a:xfrm>
                    <a:prstGeom prst="rect"/>
                  </pic:spPr>
                </pic:pic>
              </a:graphicData>
            </a:graphic>
          </wp:inline>
        </w:drawing>
      </w:r>
    </w:p>
    <w:p>
      <w:pPr>
        <w:spacing w:before="40" w:after="280"/>
        <w:jc w:val="center"/>
      </w:pPr>
      <w:r>
        <w:rPr>
          <w:rFonts w:ascii="Times New Roman" w:hAnsi="Times New Roman"/>
          <w:b/>
          <w:color w:val="334155"/>
          <w:sz w:val="21"/>
        </w:rPr>
        <w:t>Figure 4.3: Data Flow Diagram (DFD) Level 1: Subsystem Level Functional Decomposition</w:t>
      </w:r>
    </w:p>
    <w:p>
      <w:pPr>
        <w:spacing w:before="0" w:after="120" w:line="360" w:lineRule="auto"/>
        <w:jc w:val="both"/>
      </w:pPr>
      <w:r>
        <w:rPr>
          <w:rFonts w:ascii="Times New Roman" w:hAnsi="Times New Roman"/>
          <w:b w:val="0"/>
          <w:i w:val="0"/>
          <w:sz w:val="24"/>
        </w:rPr>
        <w:t>The six functional processes depicted in Figure 4.3 execute as follows:</w:t>
      </w:r>
    </w:p>
    <w:p>
      <w:pPr>
        <w:spacing w:before="0" w:after="120" w:line="360" w:lineRule="auto"/>
        <w:jc w:val="both"/>
      </w:pPr>
      <w:r>
        <w:rPr>
          <w:rFonts w:ascii="Times New Roman" w:hAnsi="Times New Roman"/>
          <w:b w:val="0"/>
          <w:i w:val="0"/>
          <w:sz w:val="24"/>
        </w:rPr>
        <w:t>• Process 1.0 (Telemetry Acquisition &amp; Filtering): Ingests raw PPG and IMU streams, performs bandpass filtering, and computes the Signal Quality Index (SQI), writing clean telemetry to Data Store D1 (Filtered Telemetry Buffer).</w:t>
      </w:r>
    </w:p>
    <w:p>
      <w:pPr>
        <w:spacing w:before="0" w:after="120" w:line="360" w:lineRule="auto"/>
        <w:jc w:val="both"/>
      </w:pPr>
      <w:r>
        <w:rPr>
          <w:rFonts w:ascii="Times New Roman" w:hAnsi="Times New Roman"/>
          <w:b w:val="0"/>
          <w:i w:val="0"/>
          <w:sz w:val="24"/>
        </w:rPr>
        <w:t>• Process 2.0 (Profile Sandboxing &amp; Switching): Receives profile selection commands, binds active execution to isolated partitions in Data Store D2 (Sandboxed Profile Store), and enforces zero-leakage state separation.</w:t>
      </w:r>
    </w:p>
    <w:p>
      <w:pPr>
        <w:spacing w:before="0" w:after="120" w:line="360" w:lineRule="auto"/>
        <w:jc w:val="both"/>
      </w:pPr>
      <w:r>
        <w:rPr>
          <w:rFonts w:ascii="Times New Roman" w:hAnsi="Times New Roman"/>
          <w:b w:val="0"/>
          <w:i w:val="0"/>
          <w:sz w:val="24"/>
        </w:rPr>
        <w:t>• Process 3.0 (Demographic Prior Benchmarking): References Data Store D4 (Clinical Population Norms ROM) and calculates baseline HRmax, sleep requirements, and calorie norms based on Tanaka and Gulati equations.</w:t>
      </w:r>
    </w:p>
    <w:p>
      <w:pPr>
        <w:spacing w:before="0" w:after="120" w:line="360" w:lineRule="auto"/>
        <w:jc w:val="both"/>
      </w:pPr>
      <w:r>
        <w:rPr>
          <w:rFonts w:ascii="Times New Roman" w:hAnsi="Times New Roman"/>
          <w:b w:val="0"/>
          <w:i w:val="0"/>
          <w:sz w:val="24"/>
        </w:rPr>
        <w:t>• Process 4.0 (Adaptive Physiological &amp; TinyML Inference): Ingests filtered telemetry and demographic priors, executes forward neural inference, and applies bounded Micro-SGD updates to weights stored in Data Store D3 (Quantized Model Weights).</w:t>
      </w:r>
    </w:p>
    <w:p>
      <w:pPr>
        <w:spacing w:before="0" w:after="120" w:line="360" w:lineRule="auto"/>
        <w:jc w:val="both"/>
      </w:pPr>
      <w:r>
        <w:rPr>
          <w:rFonts w:ascii="Times New Roman" w:hAnsi="Times New Roman"/>
          <w:b w:val="0"/>
          <w:i w:val="0"/>
          <w:sz w:val="24"/>
        </w:rPr>
        <w:t>• Process 5.0 (Dynamic Prescription Synthesis): Evaluates Karvonen HRR and Belenky sleep debt equations, generating dynamic daily targets for sleep, steps, strain, and inactivity.</w:t>
      </w:r>
    </w:p>
    <w:p>
      <w:pPr>
        <w:spacing w:before="0" w:after="120" w:line="360" w:lineRule="auto"/>
        <w:jc w:val="both"/>
      </w:pPr>
      <w:r>
        <w:rPr>
          <w:rFonts w:ascii="Times New Roman" w:hAnsi="Times New Roman"/>
          <w:b w:val="0"/>
          <w:i w:val="0"/>
          <w:sz w:val="24"/>
        </w:rPr>
        <w:t>• Process 6.0 (Glanceable Circular UI Rendering): Queries active calibration states and target prescriptions, painting high-DPI anti-aliased circular arcs and triggering haptic alarms upon threshold exceedance.</w:t>
      </w:r>
    </w:p>
    <w:p>
      <w:pPr>
        <w:spacing w:before="200" w:after="80" w:line="360" w:lineRule="auto"/>
        <w:jc w:val="left"/>
      </w:pPr>
      <w:r>
        <w:rPr>
          <w:rFonts w:ascii="Times New Roman" w:hAnsi="Times New Roman"/>
          <w:b/>
          <w:i w:val="0"/>
          <w:color w:val="1E293B"/>
          <w:sz w:val="24"/>
        </w:rPr>
        <w:t>4.3.3 Detailed Process Flow DFD (Level 2)</w:t>
      </w:r>
    </w:p>
    <w:p>
      <w:pPr>
        <w:spacing w:before="0" w:after="120" w:line="360" w:lineRule="auto"/>
        <w:jc w:val="both"/>
      </w:pPr>
      <w:r>
        <w:rPr>
          <w:rFonts w:ascii="Times New Roman" w:hAnsi="Times New Roman"/>
          <w:b w:val="0"/>
          <w:i w:val="0"/>
          <w:sz w:val="24"/>
        </w:rPr>
        <w:t>Figure 4.4 presents the Detailed Process Flow DFD (Level 2), providing an in-depth functional decomposition of Process 4.0 (Adaptive Physiological Inference and TinyML Micro-SGD Engine).</w:t>
      </w:r>
    </w:p>
    <w:p>
      <w:pPr>
        <w:spacing w:before="240" w:after="80"/>
        <w:jc w:val="center"/>
      </w:pPr>
      <w:r>
        <w:drawing>
          <wp:inline xmlns:a="http://schemas.openxmlformats.org/drawingml/2006/main" xmlns:pic="http://schemas.openxmlformats.org/drawingml/2006/picture">
            <wp:extent cx="5303520" cy="3182112"/>
            <wp:docPr id="5" name="Picture 5"/>
            <wp:cNvGraphicFramePr>
              <a:graphicFrameLocks noChangeAspect="1"/>
            </wp:cNvGraphicFramePr>
            <a:graphic>
              <a:graphicData uri="http://schemas.openxmlformats.org/drawingml/2006/picture">
                <pic:pic>
                  <pic:nvPicPr>
                    <pic:cNvPr id="0" name="fig_dfd_level2.png"/>
                    <pic:cNvPicPr/>
                  </pic:nvPicPr>
                  <pic:blipFill>
                    <a:blip r:embed="rId14"/>
                    <a:stretch>
                      <a:fillRect/>
                    </a:stretch>
                  </pic:blipFill>
                  <pic:spPr>
                    <a:xfrm>
                      <a:off x="0" y="0"/>
                      <a:ext cx="5303520" cy="3182112"/>
                    </a:xfrm>
                    <a:prstGeom prst="rect"/>
                  </pic:spPr>
                </pic:pic>
              </a:graphicData>
            </a:graphic>
          </wp:inline>
        </w:drawing>
      </w:r>
    </w:p>
    <w:p>
      <w:pPr>
        <w:spacing w:before="40" w:after="280"/>
        <w:jc w:val="center"/>
      </w:pPr>
      <w:r>
        <w:rPr>
          <w:rFonts w:ascii="Times New Roman" w:hAnsi="Times New Roman"/>
          <w:b/>
          <w:color w:val="334155"/>
          <w:sz w:val="21"/>
        </w:rPr>
        <w:t>Figure 4.4: Data Flow Diagram (DFD) Level 2: Detailed Process Flow for TinyML Micro-SGD Engine</w:t>
      </w:r>
    </w:p>
    <w:p>
      <w:pPr>
        <w:spacing w:before="0" w:after="120" w:line="360" w:lineRule="auto"/>
        <w:jc w:val="both"/>
      </w:pPr>
      <w:r>
        <w:rPr>
          <w:rFonts w:ascii="Times New Roman" w:hAnsi="Times New Roman"/>
          <w:b w:val="0"/>
          <w:i w:val="0"/>
          <w:sz w:val="24"/>
        </w:rPr>
        <w:t>As delineated in Figure 4.4, Process 4.0 is decomposed into five precise sub-processes:</w:t>
      </w:r>
    </w:p>
    <w:p>
      <w:pPr>
        <w:spacing w:before="0" w:after="120" w:line="360" w:lineRule="auto"/>
        <w:jc w:val="both"/>
      </w:pPr>
      <w:r>
        <w:rPr>
          <w:rFonts w:ascii="Times New Roman" w:hAnsi="Times New Roman"/>
          <w:b w:val="0"/>
          <w:i w:val="0"/>
          <w:sz w:val="24"/>
        </w:rPr>
        <w:t>• Process 4.1 (Feature Extraction &amp; Normalization): Extracts rolling 5-minute mean HR, RMSSD HRV, step cadence, cumulative sleep debt, and day index, normalizing all values to the range [-1.0, 1.0].</w:t>
      </w:r>
    </w:p>
    <w:p>
      <w:pPr>
        <w:spacing w:before="0" w:after="120" w:line="360" w:lineRule="auto"/>
        <w:jc w:val="both"/>
      </w:pPr>
      <w:r>
        <w:rPr>
          <w:rFonts w:ascii="Times New Roman" w:hAnsi="Times New Roman"/>
          <w:b w:val="0"/>
          <w:i w:val="0"/>
          <w:sz w:val="24"/>
        </w:rPr>
        <w:t>• Process 4.2 (Forward Neural Inference): Propagates the 5-dimensional feature vector through the quantized 2-layer MLP (Input 5 → Hidden 8 with ReLU → Output 3 linear units), generating candidate target predictions.</w:t>
      </w:r>
    </w:p>
    <w:p>
      <w:pPr>
        <w:spacing w:before="0" w:after="120" w:line="360" w:lineRule="auto"/>
        <w:jc w:val="both"/>
      </w:pPr>
      <w:r>
        <w:rPr>
          <w:rFonts w:ascii="Times New Roman" w:hAnsi="Times New Roman"/>
          <w:b w:val="0"/>
          <w:i w:val="0"/>
          <w:sz w:val="24"/>
        </w:rPr>
        <w:t>• Process 4.3 (Loss and Residual Evaluation): Evaluates Mean Squared Error (MSE) between forward predictions and actual observed recovery baselines.</w:t>
      </w:r>
    </w:p>
    <w:p>
      <w:pPr>
        <w:spacing w:before="0" w:after="120" w:line="360" w:lineRule="auto"/>
        <w:jc w:val="both"/>
      </w:pPr>
      <w:r>
        <w:rPr>
          <w:rFonts w:ascii="Times New Roman" w:hAnsi="Times New Roman"/>
          <w:b w:val="0"/>
          <w:i w:val="0"/>
          <w:sz w:val="24"/>
        </w:rPr>
        <w:t>• Process 4.4 (Micro-SGD Bounded Weight Descent): Computes analytical backpropagation gradients and applies the hard gradient clipping invariant (|ΔW| ≤ 0.05), writing updated parameters back to Data Store D3.</w:t>
      </w:r>
    </w:p>
    <w:p>
      <w:pPr>
        <w:spacing w:before="0" w:after="120" w:line="360" w:lineRule="auto"/>
        <w:jc w:val="both"/>
      </w:pPr>
      <w:r>
        <w:rPr>
          <w:rFonts w:ascii="Times New Roman" w:hAnsi="Times New Roman"/>
          <w:b w:val="0"/>
          <w:i w:val="0"/>
          <w:sz w:val="24"/>
        </w:rPr>
        <w:t>• Process 4.5 (Prescription Engine Output): Translates bounded neural outputs into actionable daily target values for sleep duration, step goals, and cardio strain ceilings.</w:t>
      </w:r>
    </w:p>
    <w:p>
      <w:pPr>
        <w:spacing w:before="200" w:after="80" w:line="360" w:lineRule="auto"/>
        <w:jc w:val="left"/>
      </w:pPr>
      <w:r>
        <w:rPr>
          <w:rFonts w:ascii="Times New Roman" w:hAnsi="Times New Roman"/>
          <w:b/>
          <w:i w:val="0"/>
          <w:color w:val="1E293B"/>
          <w:sz w:val="24"/>
        </w:rPr>
        <w:t>4.3.4 Comprehensive Data Dictionary and Entity Descriptions</w:t>
      </w:r>
    </w:p>
    <w:p>
      <w:pPr>
        <w:spacing w:before="0" w:after="120" w:line="360" w:lineRule="auto"/>
        <w:jc w:val="both"/>
      </w:pPr>
      <w:r>
        <w:rPr>
          <w:rFonts w:ascii="Times New Roman" w:hAnsi="Times New Roman"/>
          <w:b w:val="0"/>
          <w:i w:val="0"/>
          <w:sz w:val="24"/>
        </w:rPr>
        <w:t>To ensure formal clarity across all engineering interfaces, Table 4.2 provides a comprehensive Data Dictionary detailing data flows, internal stores, and control entities modeled in the DFDs.</w:t>
      </w:r>
    </w:p>
    <w:p>
      <w:pPr>
        <w:spacing w:before="0" w:after="120" w:line="360" w:lineRule="auto"/>
        <w:jc w:val="both"/>
      </w:pPr>
      <w:r>
        <w:rPr>
          <w:rFonts w:ascii="Times New Roman" w:hAnsi="Times New Roman"/>
          <w:b w:val="0"/>
          <w:i w:val="0"/>
          <w:sz w:val="24"/>
        </w:rPr>
        <w:t>As defined in Table 4.2, every data entity is assigned a strict primitive type, memory size, and update frequency. The total persistent state across all four sandboxed user profiles requires less than 4.2 KB of storage, easily fitting within standard microcontroller EEPROM or encrypted internal Flash.</w:t>
      </w:r>
    </w:p>
    <w:p>
      <w:pPr>
        <w:spacing w:before="240" w:after="120"/>
        <w:jc w:val="center"/>
      </w:pPr>
      <w:r>
        <w:rPr>
          <w:rFonts w:ascii="Times New Roman" w:hAnsi="Times New Roman"/>
          <w:b/>
          <w:color w:val="1E3A8A"/>
          <w:sz w:val="21"/>
        </w:rPr>
        <w:t>Table 4.2: InstaHealth System Comprehensive Data Dictionary and Flow Specifications</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left w:val="none"/>
          <w:right w:val="none"/>
          <w:insideV w:val="none"/>
        </w:tblBorders>
      </w:tblPr>
      <w:tblGrid>
        <w:gridCol w:w="1800"/>
        <w:gridCol w:w="1800"/>
        <w:gridCol w:w="1800"/>
        <w:gridCol w:w="1800"/>
        <w:gridCol w:w="1800"/>
      </w:tblGrid>
      <w:tr>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Entity / Data Flow Name</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Data Flow Type</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Source / Destination</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Data Type &amp; Format</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Description and Engineering Purpose</w:t>
            </w:r>
          </w:p>
        </w:tc>
      </w:tr>
      <w:tr>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Raw_PPG_Stream</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Continuous Sensor Stream</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PPG Sensor -&gt; Process 1.0</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Float32 Array [256], Volts</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Raw analog voltage reflections capturing arterial blood volume oscillations at 25 Hz.</w:t>
            </w:r>
          </w:p>
        </w:tc>
      </w:tr>
      <w:tr>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Raw_IMU_Stream</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Continuous Sensor Stream</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IMU Sensor -&gt; Process 1.0</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Int16 Array [3], G-units</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Triaxial kinetic acceleration (Ax, Ay, Az) sampled at 50 Hz for motion artifact detection.</w:t>
            </w:r>
          </w:p>
        </w:tc>
      </w:tr>
      <w:tr>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Filtered_Telemetry_Buffer (D1)</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Internal Data Store</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Process 1.0 -&gt; Process 4.0</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Float32 Ring Buffer [256]</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Motion-compensated, Butterworth-filtered optical pulse-train and kinetic cadence.</w:t>
            </w:r>
          </w:p>
        </w:tc>
      </w:tr>
      <w:tr>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SQI_Validity_Flag</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Control Signal</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Process 1.0 -&gt; Process 4.0</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Boolean (TRUE/FALSE)</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Indicates whether the current 5-second telemetry window satisfies signal quality thresholds (SQI ≥ 0.40).</w:t>
            </w:r>
          </w:p>
        </w:tc>
      </w:tr>
      <w:tr>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Profile_Context_Command</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User Input Event</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User -&gt; Process 2.0</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String (Emoji Identifier)</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Selects active persona: Runner (🏃‍♂️), Meditator (🧘), Cyclist (🚴), or Swimmer (🏊).</w:t>
            </w:r>
          </w:p>
        </w:tc>
      </w:tr>
      <w:tr>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Sandboxed_Profile_Store (D2)</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Non-Volatile Data Store</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Process 2.0 &lt;-&gt; Process 4.0/5.0</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Encrypted Struct [4 Profiles]</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Isolated partitions encapsulating baselines, calibration counters, and configuration parameters.</w:t>
            </w:r>
          </w:p>
        </w:tc>
      </w:tr>
      <w:tr>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Clinical_Norms_ROM (D4)</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Read-Only Data Store</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ROM -&gt; Process 3.0</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Static Matrix [5×2×4]</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Normative epidemiological lookup table stratified across 5 age brackets and biological sex.</w:t>
            </w:r>
          </w:p>
        </w:tc>
      </w:tr>
      <w:tr>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Demographic_Prior_Vector</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Processed Data Flow</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Process 3.0 -&gt; Process 4.0</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Struct {HRmax, Cal, Steps, Sleep}</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Baseline prior calculated via Tanaka (male) or Gulati (female) maximum heart rate models.</w:t>
            </w:r>
          </w:p>
        </w:tc>
      </w:tr>
      <w:tr>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Feature_Vector_x</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Processed Data Flow</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Process 4.1 -&gt; Process 4.2</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Float32 Vector [5]</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Normalized inputs: [HR_norm, HRV_norm, Steps_norm, SleepDebt_norm, DayIndex].</w:t>
            </w:r>
          </w:p>
        </w:tc>
      </w:tr>
      <w:tr>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Quantized_Model_Weights (D3)</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Non-Volatile Data Store</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Process 4.4 &lt;-&gt; Process 4.2</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Float32/INT8 {W1, b1, W2, b2}</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Trained neural weights for the 2-layer MLP (W1 ∈ R^(8×5), W2 ∈ R^(3×8)).</w:t>
            </w:r>
          </w:p>
        </w:tc>
      </w:tr>
      <w:tr>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Daily_Prescription_Vector</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Output Data Flow</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Process 5.0 -&gt; Process 6.0</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Struct {SleepTarget, StepsTarget, HRR, Zones}</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Dynamic daily prescriptions synthesizing Belenky sleep debt and Karvonen HRR limits.</w:t>
            </w:r>
          </w:p>
        </w:tc>
      </w:tr>
      <w:tr>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Display_Render_Buffer</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Graphics Output Flow</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Process 6.0 -&gt; Display Panel</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24-bit RGB Framebuffer [454×454]</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Anti-aliased circular gauge arcs and text telemetry rendered at 60 frames per second.</w:t>
            </w:r>
          </w:p>
        </w:tc>
      </w:tr>
    </w:tbl>
    <w:p>
      <w:pPr>
        <w:spacing w:before="0" w:after="160"/>
      </w:pPr>
    </w:p>
    <w:p>
      <w:pPr>
        <w:spacing w:before="280" w:after="120" w:line="360" w:lineRule="auto"/>
        <w:jc w:val="left"/>
      </w:pPr>
      <w:r>
        <w:rPr>
          <w:rFonts w:ascii="Times New Roman" w:hAnsi="Times New Roman"/>
          <w:b/>
          <w:i w:val="0"/>
          <w:color w:val="0F172A"/>
          <w:sz w:val="28"/>
        </w:rPr>
        <w:t>4.4 Physiological Modeling and Mathematical Formulations</w:t>
      </w:r>
    </w:p>
    <w:p>
      <w:pPr>
        <w:spacing w:before="0" w:after="120" w:line="360" w:lineRule="auto"/>
        <w:jc w:val="both"/>
      </w:pPr>
      <w:r>
        <w:rPr>
          <w:rFonts w:ascii="Times New Roman" w:hAnsi="Times New Roman"/>
          <w:b w:val="0"/>
          <w:i w:val="0"/>
          <w:sz w:val="24"/>
        </w:rPr>
        <w:t>The clinical grounding and adaptive accuracy of InstaHealth depend upon five core mathematical and physiological formulations, derived and implemented directly within the on-device firmware.</w:t>
      </w:r>
    </w:p>
    <w:p>
      <w:pPr>
        <w:spacing w:before="200" w:after="80" w:line="360" w:lineRule="auto"/>
        <w:jc w:val="left"/>
      </w:pPr>
      <w:r>
        <w:rPr>
          <w:rFonts w:ascii="Times New Roman" w:hAnsi="Times New Roman"/>
          <w:b/>
          <w:i w:val="0"/>
          <w:color w:val="1E293B"/>
          <w:sz w:val="24"/>
        </w:rPr>
        <w:t>4.4.1 Maximum Heart Rate Modeling (Tanaka &amp; Gulati Equations)</w:t>
      </w:r>
    </w:p>
    <w:p>
      <w:pPr>
        <w:spacing w:before="0" w:after="120" w:line="360" w:lineRule="auto"/>
        <w:jc w:val="both"/>
      </w:pPr>
      <w:r>
        <w:rPr>
          <w:rFonts w:ascii="Times New Roman" w:hAnsi="Times New Roman"/>
          <w:b w:val="0"/>
          <w:i w:val="0"/>
          <w:sz w:val="24"/>
        </w:rPr>
        <w:t>Maximum heart rate (HRmax) represents the fundamental denominator for cardiovascular training zone stratification and cardiac safety monitoring. Rather than utilizing the unvalidated Fox and Haskell formula (220 - Age), InstaHealth implements sex-stratified regression models:</w:t>
      </w:r>
    </w:p>
    <w:p>
      <w:pPr>
        <w:spacing w:before="0" w:after="120" w:line="360" w:lineRule="auto"/>
        <w:jc w:val="both"/>
      </w:pPr>
      <w:r>
        <w:rPr>
          <w:rFonts w:ascii="Times New Roman" w:hAnsi="Times New Roman"/>
          <w:b w:val="0"/>
          <w:i w:val="0"/>
          <w:sz w:val="24"/>
        </w:rPr>
        <w:t>For male users, the Tanaka et al. (2001) formula is formulated as:</w:t>
        <w:br/>
        <w:t>HRmax(male) = 208 - (0.7 × Age)</w:t>
      </w:r>
    </w:p>
    <w:p>
      <w:pPr>
        <w:spacing w:before="0" w:after="120" w:line="360" w:lineRule="auto"/>
        <w:jc w:val="both"/>
      </w:pPr>
      <w:r>
        <w:rPr>
          <w:rFonts w:ascii="Times New Roman" w:hAnsi="Times New Roman"/>
          <w:b w:val="0"/>
          <w:i w:val="0"/>
          <w:sz w:val="24"/>
        </w:rPr>
        <w:t>For female users, the Gulati et al. (2010) formula is formulated as:</w:t>
        <w:br/>
        <w:t>HRmax(female) = 206 - (0.88 × Age)</w:t>
      </w:r>
    </w:p>
    <w:p>
      <w:pPr>
        <w:spacing w:before="0" w:after="120" w:line="360" w:lineRule="auto"/>
        <w:jc w:val="both"/>
      </w:pPr>
      <w:r>
        <w:rPr>
          <w:rFonts w:ascii="Times New Roman" w:hAnsi="Times New Roman"/>
          <w:b w:val="0"/>
          <w:i w:val="0"/>
          <w:sz w:val="24"/>
        </w:rPr>
        <w:t>To support instantaneous cold-start prior binding without runtime floating-point overhead, these formulas were pre-computed and stored in an embedded ROM lookup table across five clinical age tiers, as summarized in Table 4.3.</w:t>
      </w:r>
    </w:p>
    <w:p>
      <w:pPr>
        <w:spacing w:before="0" w:after="120" w:line="360" w:lineRule="auto"/>
        <w:jc w:val="both"/>
      </w:pPr>
      <w:r>
        <w:rPr>
          <w:rFonts w:ascii="Times New Roman" w:hAnsi="Times New Roman"/>
          <w:b w:val="0"/>
          <w:i w:val="0"/>
          <w:sz w:val="24"/>
        </w:rPr>
        <w:t>Table 4.3 highlights the significant divergence between male and female peak chronotropic capacity with advancing age: by age 60, female HRmax is clinically projected at 153 bpm compared to 166 bpm in males. Utilizing static non-sex-stratified formulas would over-prescribe cardiac exertion targets for female users by over 8%.</w:t>
      </w:r>
    </w:p>
    <w:p>
      <w:pPr>
        <w:spacing w:before="200" w:after="80" w:line="360" w:lineRule="auto"/>
        <w:jc w:val="left"/>
      </w:pPr>
      <w:r>
        <w:rPr>
          <w:rFonts w:ascii="Times New Roman" w:hAnsi="Times New Roman"/>
          <w:b/>
          <w:i w:val="0"/>
          <w:color w:val="1E293B"/>
          <w:sz w:val="24"/>
        </w:rPr>
        <w:t>4.4.2 Karvonen Heart Rate Reserve (HRR) and Zone Stratification</w:t>
      </w:r>
    </w:p>
    <w:p>
      <w:pPr>
        <w:spacing w:before="0" w:after="120" w:line="360" w:lineRule="auto"/>
        <w:jc w:val="both"/>
      </w:pPr>
      <w:r>
        <w:rPr>
          <w:rFonts w:ascii="Times New Roman" w:hAnsi="Times New Roman"/>
          <w:b w:val="0"/>
          <w:i w:val="0"/>
          <w:sz w:val="24"/>
        </w:rPr>
        <w:t>To quantify real-time cardiovascular exertion relative to an individual's autonomic state, InstaHealth calculates the Heart Rate Reserve (HRR) (Karvonen et al., 1957):</w:t>
        <w:br/>
        <w:t>HRR = HRmax - HRrest</w:t>
        <w:br/>
        <w:t>where HRrest is the user's continuously calibrated nocturnal resting heart rate.</w:t>
      </w:r>
    </w:p>
    <w:p>
      <w:pPr>
        <w:spacing w:before="0" w:after="120" w:line="360" w:lineRule="auto"/>
        <w:jc w:val="both"/>
      </w:pPr>
      <w:r>
        <w:rPr>
          <w:rFonts w:ascii="Times New Roman" w:hAnsi="Times New Roman"/>
          <w:b w:val="0"/>
          <w:i w:val="0"/>
          <w:sz w:val="24"/>
        </w:rPr>
        <w:t>The target heart rate (HRtarget) corresponding to any fractional training intensity percentage (I ∈ [0.50, 1.00]) is modeled as:</w:t>
        <w:br/>
        <w:t>HRtarget = HRrest + (I × HRR)</w:t>
      </w:r>
    </w:p>
    <w:p>
      <w:pPr>
        <w:spacing w:before="0" w:after="120" w:line="360" w:lineRule="auto"/>
        <w:jc w:val="both"/>
      </w:pPr>
      <w:r>
        <w:rPr>
          <w:rFonts w:ascii="Times New Roman" w:hAnsi="Times New Roman"/>
          <w:b w:val="0"/>
          <w:i w:val="0"/>
          <w:sz w:val="24"/>
        </w:rPr>
        <w:t>InstaHealth continuously categorizes exercise intensity into five clinical training zones, as detailed in Table 4.4.</w:t>
      </w:r>
    </w:p>
    <w:p>
      <w:pPr>
        <w:spacing w:before="0" w:after="120" w:line="360" w:lineRule="auto"/>
        <w:jc w:val="both"/>
      </w:pPr>
      <w:r>
        <w:rPr>
          <w:rFonts w:ascii="Times New Roman" w:hAnsi="Times New Roman"/>
          <w:b w:val="0"/>
          <w:i w:val="0"/>
          <w:sz w:val="24"/>
        </w:rPr>
        <w:t>By computing training zones dynamically using the live calibrated HRrest, InstaHealth automatically accounts for acute fatigue: if a user experiences autonomic depression (elevating HRrest by 8 bpm following intense exertion), the absolute heart rate required to reach Zone 4 or Zone 5 adjusts upward, protecting the user against premature cardiac exhaustion.</w:t>
      </w:r>
    </w:p>
    <w:p>
      <w:pPr>
        <w:spacing w:before="200" w:after="80" w:line="360" w:lineRule="auto"/>
        <w:jc w:val="left"/>
      </w:pPr>
      <w:r>
        <w:rPr>
          <w:rFonts w:ascii="Times New Roman" w:hAnsi="Times New Roman"/>
          <w:b/>
          <w:i w:val="0"/>
          <w:color w:val="1E293B"/>
          <w:sz w:val="24"/>
        </w:rPr>
        <w:t>4.4.3 Belenky Multi-Night Sleep Debt Carryover Formulation</w:t>
      </w:r>
    </w:p>
    <w:p>
      <w:pPr>
        <w:spacing w:before="0" w:after="120" w:line="360" w:lineRule="auto"/>
        <w:jc w:val="both"/>
      </w:pPr>
      <w:r>
        <w:rPr>
          <w:rFonts w:ascii="Times New Roman" w:hAnsi="Times New Roman"/>
          <w:b w:val="0"/>
          <w:i w:val="0"/>
          <w:sz w:val="24"/>
        </w:rPr>
        <w:t>InstaHealth formalizes nocturnal sleep need as a dynamic homeostatic recovery function. Let Sbase be the user's calibrated baseline sleep duration. On day t, the acute sleep deficit is computed as:</w:t>
        <w:br/>
        <w:t>Deficit(t) = max(0, Sbase - Sactual(t))</w:t>
      </w:r>
    </w:p>
    <w:p>
      <w:pPr>
        <w:spacing w:before="0" w:after="120" w:line="360" w:lineRule="auto"/>
        <w:jc w:val="both"/>
      </w:pPr>
      <w:r>
        <w:rPr>
          <w:rFonts w:ascii="Times New Roman" w:hAnsi="Times New Roman"/>
          <w:b w:val="0"/>
          <w:i w:val="0"/>
          <w:sz w:val="24"/>
        </w:rPr>
        <w:t>Longitudinal neurobehavioral sleep debt accumulates via a first-order autoregressive decay equation (Belenky et al., 2003):</w:t>
        <w:br/>
        <w:t>Debt(t) = Deficit(t) + (λ × Debt(t-1))</w:t>
        <w:br/>
        <w:t>where λ = 0.5 represents the daily recovery carryover coefficient.</w:t>
      </w:r>
    </w:p>
    <w:p>
      <w:pPr>
        <w:spacing w:before="0" w:after="120" w:line="360" w:lineRule="auto"/>
        <w:jc w:val="both"/>
      </w:pPr>
      <w:r>
        <w:rPr>
          <w:rFonts w:ascii="Times New Roman" w:hAnsi="Times New Roman"/>
          <w:b w:val="0"/>
          <w:i w:val="0"/>
          <w:sz w:val="24"/>
        </w:rPr>
        <w:t>The prescribed sleep duration for the subsequent night (t+1) is synthesized as:</w:t>
        <w:br/>
        <w:t>Starget(t+1) = Sbase + min(1.5, 0.35 × Debt(t))</w:t>
        <w:br/>
        <w:t>This formulation enforces a clinical ceiling of 90 minutes maximum extension, preventing circadian rhythm disruption while progressively extinguishing accumulated sleep debt over multiple consecutive nights.</w:t>
      </w:r>
    </w:p>
    <w:p>
      <w:pPr>
        <w:spacing w:before="200" w:after="80" w:line="360" w:lineRule="auto"/>
        <w:jc w:val="left"/>
      </w:pPr>
      <w:r>
        <w:rPr>
          <w:rFonts w:ascii="Times New Roman" w:hAnsi="Times New Roman"/>
          <w:b/>
          <w:i w:val="0"/>
          <w:color w:val="1E293B"/>
          <w:sz w:val="24"/>
        </w:rPr>
        <w:t>4.4.4 Adaptive Exponential Moving Average (EMA) Baseline Tracking</w:t>
      </w:r>
    </w:p>
    <w:p>
      <w:pPr>
        <w:spacing w:before="0" w:after="120" w:line="360" w:lineRule="auto"/>
        <w:jc w:val="both"/>
      </w:pPr>
      <w:r>
        <w:rPr>
          <w:rFonts w:ascii="Times New Roman" w:hAnsi="Times New Roman"/>
          <w:b w:val="0"/>
          <w:i w:val="0"/>
          <w:sz w:val="24"/>
        </w:rPr>
        <w:t>To track gradual physiological adaptations (such as reductions in resting heart rate resulting from sustained aerobic conditioning) without overreacting to daily fluctuations, InstaHealth maintains continuous baselines using an asymmetric Exponential Moving Average (EMA):</w:t>
        <w:br/>
        <w:t>Baseline(t) = α × Metric(t) + (1 - α) × Baseline(t-1)</w:t>
      </w:r>
    </w:p>
    <w:p>
      <w:pPr>
        <w:spacing w:before="0" w:after="120" w:line="360" w:lineRule="auto"/>
        <w:jc w:val="both"/>
      </w:pPr>
      <w:r>
        <w:rPr>
          <w:rFonts w:ascii="Times New Roman" w:hAnsi="Times New Roman"/>
          <w:b w:val="0"/>
          <w:i w:val="0"/>
          <w:sz w:val="24"/>
        </w:rPr>
        <w:t>The smoothing factor α is dynamically modulated based on activity state:</w:t>
        <w:br/>
        <w:t>• For resting physiological parameters (HRrest, baseline nocturnal sleep): α_rest = 0.05, establishing a long 20-day effective observation window that resists acute noise.</w:t>
        <w:br/>
        <w:t>• For active kinetic parameters (daily step capacity, active calorie burn): α_active = 0.15, enabling the model to adapt to seasonal training volume changes within approximately 7 days.</w:t>
      </w:r>
    </w:p>
    <w:p>
      <w:pPr>
        <w:spacing w:before="200" w:after="80" w:line="360" w:lineRule="auto"/>
        <w:jc w:val="left"/>
      </w:pPr>
      <w:r>
        <w:rPr>
          <w:rFonts w:ascii="Times New Roman" w:hAnsi="Times New Roman"/>
          <w:b/>
          <w:i w:val="0"/>
          <w:color w:val="1E293B"/>
          <w:sz w:val="24"/>
        </w:rPr>
        <w:t>4.4.5 Micro-SGD On-Device Learning &amp; Gradient Bounding</w:t>
      </w:r>
    </w:p>
    <w:p>
      <w:pPr>
        <w:spacing w:before="0" w:after="120" w:line="360" w:lineRule="auto"/>
        <w:jc w:val="both"/>
      </w:pPr>
      <w:r>
        <w:rPr>
          <w:rFonts w:ascii="Times New Roman" w:hAnsi="Times New Roman"/>
          <w:b w:val="0"/>
          <w:i w:val="0"/>
          <w:sz w:val="24"/>
        </w:rPr>
        <w:t>The on-device TinyML Multi-Layer Perceptron maps the normalized 5-dimensional input vector x to the 3-dimensional target vector y = [y_sleep, y_steps, y_max_strain]^T. Forward inference proceeds through the hidden layer h:</w:t>
        <w:br/>
        <w:t>h = max(0, W1 · x + b1)</w:t>
        <w:br/>
        <w:t>y = W2 · h + b2</w:t>
      </w:r>
    </w:p>
    <w:p>
      <w:pPr>
        <w:spacing w:before="0" w:after="120" w:line="360" w:lineRule="auto"/>
        <w:jc w:val="both"/>
      </w:pPr>
      <w:r>
        <w:rPr>
          <w:rFonts w:ascii="Times New Roman" w:hAnsi="Times New Roman"/>
          <w:b w:val="0"/>
          <w:i w:val="0"/>
          <w:sz w:val="24"/>
        </w:rPr>
        <w:t>Given the observational target vector y*, the Mean Squared Error (MSE) loss is:</w:t>
        <w:br/>
        <w:t>L = (1 / 2) × ||y - y*||^2</w:t>
      </w:r>
    </w:p>
    <w:p>
      <w:pPr>
        <w:spacing w:before="0" w:after="120" w:line="360" w:lineRule="auto"/>
        <w:jc w:val="both"/>
      </w:pPr>
      <w:r>
        <w:rPr>
          <w:rFonts w:ascii="Times New Roman" w:hAnsi="Times New Roman"/>
          <w:b w:val="0"/>
          <w:i w:val="0"/>
          <w:sz w:val="24"/>
        </w:rPr>
        <w:t>The backpropagated weight updates are computed analytically:</w:t>
        <w:br/>
        <w:t>ΔW2 = -η × ((y - y*) · h^T)</w:t>
        <w:br/>
        <w:t>ΔW1 = -η × (((W2^T (y - y*)) ⊙ (h &gt; 0)) · x^T)</w:t>
      </w:r>
    </w:p>
    <w:p>
      <w:pPr>
        <w:spacing w:before="0" w:after="120" w:line="360" w:lineRule="auto"/>
        <w:jc w:val="both"/>
      </w:pPr>
      <w:r>
        <w:rPr>
          <w:rFonts w:ascii="Times New Roman" w:hAnsi="Times New Roman"/>
          <w:b w:val="0"/>
          <w:i w:val="0"/>
          <w:sz w:val="24"/>
        </w:rPr>
        <w:t>To guarantee mathematical stability on fixed-point and floating-point microcontrollers, InstaHealth enforces a hard gradient clipping invariant:</w:t>
        <w:br/>
        <w:t>ΔW_clipped = clip(ΔW, -δ_max, δ_max)</w:t>
        <w:br/>
        <w:t>where η = 0.01 and δ_max = 0.05. This bounded update invariant guarantees that no single anomalous biometric event (e.g., an erratic PPG spike during intense hand shaking) can shift any weight parameter by more than 5%, establishing robust mathematical resistance against adversarial or noisy sensory inputs.</w:t>
      </w:r>
    </w:p>
    <w:p>
      <w:pPr>
        <w:spacing w:before="240" w:after="120"/>
        <w:jc w:val="center"/>
      </w:pPr>
      <w:r>
        <w:rPr>
          <w:rFonts w:ascii="Times New Roman" w:hAnsi="Times New Roman"/>
          <w:b/>
          <w:color w:val="1E3A8A"/>
          <w:sz w:val="21"/>
        </w:rPr>
        <w:t>Table 4.3: Clinically Stratified Demographic Population Baseline Lookup Table</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left w:val="none"/>
          <w:right w:val="none"/>
          <w:insideV w:val="none"/>
        </w:tblBorders>
      </w:tblPr>
      <w:tblGrid>
        <w:gridCol w:w="1500"/>
        <w:gridCol w:w="1500"/>
        <w:gridCol w:w="1500"/>
        <w:gridCol w:w="1500"/>
        <w:gridCol w:w="1500"/>
        <w:gridCol w:w="1500"/>
      </w:tblGrid>
      <w:tr>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Age Cohort</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Biological Sex</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Normative Daily Calories (kcal)</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Normative Step Volume</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Normative Sleep Need (hrs)</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Calculated Peak HRmax (bpm)</w:t>
            </w:r>
          </w:p>
        </w:tc>
      </w:tr>
      <w:tr>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18–29 Years</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Male</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2,400 kcal</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8,000 steps</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7.8 hours</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194 bpm (Tanaka: 208 - 0.7×20)</w:t>
            </w:r>
          </w:p>
        </w:tc>
      </w:tr>
      <w:tr>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18–29 Years</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Female</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1,900 kcal</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8,000 steps</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8.0 hours</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188 bpm (Gulati: 206 - 0.88×20)</w:t>
            </w:r>
          </w:p>
        </w:tc>
      </w:tr>
      <w:tr>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30–39 Years</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Male</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2,200 kcal</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7,500 steps</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7.5 hours</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184 bpm (Tanaka: 208 - 0.7×35)</w:t>
            </w:r>
          </w:p>
        </w:tc>
      </w:tr>
      <w:tr>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30–39 Years</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Female</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1,800 kcal</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7,500 steps</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7.7 hours</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175 bpm (Gulati: 206 - 0.88×35)</w:t>
            </w:r>
          </w:p>
        </w:tc>
      </w:tr>
      <w:tr>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40–49 Years</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Male</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2,100 kcal</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7,000 steps</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7.3 hours</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177 bpm (Tanaka: 208 - 0.7×45)</w:t>
            </w:r>
          </w:p>
        </w:tc>
      </w:tr>
      <w:tr>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40–49 Years</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Female</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1,700 kcal</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7,000 steps</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7.5 hours</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166 bpm (Gulati: 206 - 0.88×45)</w:t>
            </w:r>
          </w:p>
        </w:tc>
      </w:tr>
      <w:tr>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50–59 Years</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Male</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2,000 kcal</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6,500 steps</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7.0 hours</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170 bpm (Tanaka: 208 - 0.7×55)</w:t>
            </w:r>
          </w:p>
        </w:tc>
      </w:tr>
      <w:tr>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50–59 Years</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Female</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1,600 kcal</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6,500 steps</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7.2 hours</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158 bpm (Gulati: 206 - 0.88×55)</w:t>
            </w:r>
          </w:p>
        </w:tc>
      </w:tr>
      <w:tr>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60+ Years</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Male</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1,850 kcal</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6,000 steps</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6.8 hours</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163 bpm (Tanaka: 208 - 0.7×65)</w:t>
            </w:r>
          </w:p>
        </w:tc>
      </w:tr>
      <w:tr>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60+ Years</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Female</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1,500 kcal</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6,000 steps</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7.0 hours</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149 bpm (Gulati: 206 - 0.88×65)</w:t>
            </w:r>
          </w:p>
        </w:tc>
      </w:tr>
    </w:tbl>
    <w:p>
      <w:pPr>
        <w:spacing w:before="0" w:after="160"/>
      </w:pPr>
    </w:p>
    <w:p>
      <w:pPr>
        <w:spacing w:before="240" w:after="120"/>
        <w:jc w:val="center"/>
      </w:pPr>
      <w:r>
        <w:rPr>
          <w:rFonts w:ascii="Times New Roman" w:hAnsi="Times New Roman"/>
          <w:b/>
          <w:color w:val="1E3A8A"/>
          <w:sz w:val="21"/>
        </w:rPr>
        <w:t>Table 4.4: Karvonen Heart Rate Reserve (HRR) Training Intensity Zones and Metabolic Demands</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left w:val="none"/>
          <w:right w:val="none"/>
          <w:insideV w:val="none"/>
        </w:tblBorders>
      </w:tblPr>
      <w:tblGrid>
        <w:gridCol w:w="1800"/>
        <w:gridCol w:w="1800"/>
        <w:gridCol w:w="1800"/>
        <w:gridCol w:w="1800"/>
        <w:gridCol w:w="1800"/>
      </w:tblGrid>
      <w:tr>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Training Zone</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Intensity Range (% HRR)</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Example HR Range (HRrest=58, HRmax=194)</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Primary Physiological Stimulus</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Autonomic Nervous System Recovery Demand</w:t>
            </w:r>
          </w:p>
        </w:tc>
      </w:tr>
      <w:tr>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Zone 1: Active Recovery</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50% – 60% HRR</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126 bpm – 139 bpm</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Promotes microvascular blood flow, lactic acid clearance, active tissue restoration</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Minimal autonomic fatigue (&lt;12 hours recovery requirement)</w:t>
            </w:r>
          </w:p>
        </w:tc>
      </w:tr>
      <w:tr>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Zone 2: Aerobic Base &amp; Fat Oxidation</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60% – 70% HRR</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140 bpm – 153 bpm</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Maximizes mitochondrial biogenesis, lipid substrate utilization, capillary density</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Low to moderate autonomic strain (12–24 hours recovery requirement)</w:t>
            </w:r>
          </w:p>
        </w:tc>
      </w:tr>
      <w:tr>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Zone 3: Tempo &amp; Aerobic Capacity</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70% – 80% HRR</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154 bpm – 166 bpm</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Enhances cardiac stroke volume, pulmonary ventilation efficiency, glycogen storage</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Moderate sympathetic activation (24–36 hours recovery requirement)</w:t>
            </w:r>
          </w:p>
        </w:tc>
      </w:tr>
      <w:tr>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Zone 4: Anaerobic / Lactate Threshold</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80% – 90% HRR</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167 bpm – 180 bpm</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Raises lactate clearance threshold, high-intensity endurance sustained buffering</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High sympathetic stress, parasympathetic suppression (36–48 hours recovery)</w:t>
            </w:r>
          </w:p>
        </w:tc>
      </w:tr>
      <w:tr>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Zone 5: Neuromuscular / VO2 Max</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90% – 100% HRR</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181 bpm – 194 bpm</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Peak chronotropic response, maximal oxygen consumption rate (VO2 Max)</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Extreme systemic fatigue; requires strict haptic exertion limits and 48–72h recovery</w:t>
            </w:r>
          </w:p>
        </w:tc>
      </w:tr>
    </w:tbl>
    <w:p>
      <w:pPr>
        <w:spacing w:before="0" w:after="160"/>
      </w:pPr>
    </w:p>
    <w:p>
      <w:r>
        <w:br w:type="page"/>
      </w:r>
    </w:p>
    <w:p>
      <w:pPr>
        <w:spacing w:before="320" w:after="280" w:line="360" w:lineRule="auto"/>
        <w:jc w:val="center"/>
      </w:pPr>
      <w:r>
        <w:rPr>
          <w:rFonts w:ascii="Times New Roman" w:hAnsi="Times New Roman"/>
          <w:b/>
          <w:i w:val="0"/>
          <w:color w:val="1E3A8A"/>
          <w:sz w:val="32"/>
        </w:rPr>
        <w:t>CHAPTER 5: IMPLEMENTATION</w:t>
      </w:r>
    </w:p>
    <w:p>
      <w:pPr>
        <w:spacing w:before="280" w:after="120" w:line="360" w:lineRule="auto"/>
        <w:jc w:val="left"/>
      </w:pPr>
      <w:r>
        <w:rPr>
          <w:rFonts w:ascii="Times New Roman" w:hAnsi="Times New Roman"/>
          <w:b/>
          <w:i w:val="0"/>
          <w:color w:val="0F172A"/>
          <w:sz w:val="28"/>
        </w:rPr>
        <w:t>5.1 Tools, Frameworks, and Operating Environments</w:t>
      </w:r>
    </w:p>
    <w:p>
      <w:pPr>
        <w:spacing w:before="0" w:after="120" w:line="360" w:lineRule="auto"/>
        <w:jc w:val="both"/>
      </w:pPr>
      <w:r>
        <w:rPr>
          <w:rFonts w:ascii="Times New Roman" w:hAnsi="Times New Roman"/>
          <w:b w:val="0"/>
          <w:i w:val="0"/>
          <w:sz w:val="24"/>
        </w:rPr>
        <w:t>The implementation of InstaHealth spans embedded firmware execution, microcontroller digital signal processing, on-device neural compilation, and high-performance graphics rendering. The development strategy prioritized extreme power efficiency, zero cloud dependence, and broad cross-platform portability.</w:t>
      </w:r>
    </w:p>
    <w:p>
      <w:pPr>
        <w:spacing w:before="200" w:after="80" w:line="360" w:lineRule="auto"/>
        <w:jc w:val="left"/>
      </w:pPr>
      <w:r>
        <w:rPr>
          <w:rFonts w:ascii="Times New Roman" w:hAnsi="Times New Roman"/>
          <w:b/>
          <w:i w:val="0"/>
          <w:color w:val="1E293B"/>
          <w:sz w:val="24"/>
        </w:rPr>
        <w:t>5.1.1 Embedded Hardware Platforms and System Specifications</w:t>
      </w:r>
    </w:p>
    <w:p>
      <w:pPr>
        <w:spacing w:before="0" w:after="120" w:line="360" w:lineRule="auto"/>
        <w:jc w:val="both"/>
      </w:pPr>
      <w:r>
        <w:rPr>
          <w:rFonts w:ascii="Times New Roman" w:hAnsi="Times New Roman"/>
          <w:b w:val="0"/>
          <w:i w:val="0"/>
          <w:sz w:val="24"/>
        </w:rPr>
        <w:t>To validate the real-world execution of InstaHealth across heterogeneous hardware architectures, the system was implemented and evaluated on three representative hardware tiers: bare-metal ultra-low-power microcontrollers, commercial smartwatch operating systems, and an air-gapped web runtime environment.</w:t>
      </w:r>
    </w:p>
    <w:p>
      <w:pPr>
        <w:spacing w:before="0" w:after="120" w:line="360" w:lineRule="auto"/>
        <w:jc w:val="both"/>
      </w:pPr>
      <w:r>
        <w:rPr>
          <w:rFonts w:ascii="Times New Roman" w:hAnsi="Times New Roman"/>
          <w:b w:val="0"/>
          <w:i w:val="0"/>
          <w:sz w:val="24"/>
        </w:rPr>
        <w:t>1. Nordic Semiconductor nRF52840 SoC: Built upon a 32-bit ARM Cortex-M4F processor operating at 64 MHz with single-precision hardware FPU, 1 MB of internal Flash ROM, and 256 KB of SRAM. This platform represents the gold standard for dedicated, ultra-low-power biometric wearables.</w:t>
      </w:r>
    </w:p>
    <w:p>
      <w:pPr>
        <w:spacing w:before="0" w:after="120" w:line="360" w:lineRule="auto"/>
        <w:jc w:val="both"/>
      </w:pPr>
      <w:r>
        <w:rPr>
          <w:rFonts w:ascii="Times New Roman" w:hAnsi="Times New Roman"/>
          <w:b w:val="0"/>
          <w:i w:val="0"/>
          <w:sz w:val="24"/>
        </w:rPr>
        <w:t>2. Apple watchOS (Series 8/9 &amp; Ultra 2): Powered by Apple Silicon S8/S9 System-in-Package (SiP) dual-core 64-bit processors with integrated neural accelerators, 1 GB of RAM, and 32/64 GB of Flash storage, running within the native watchOS application sandbox.</w:t>
      </w:r>
    </w:p>
    <w:p>
      <w:pPr>
        <w:spacing w:before="0" w:after="120" w:line="360" w:lineRule="auto"/>
        <w:jc w:val="both"/>
      </w:pPr>
      <w:r>
        <w:rPr>
          <w:rFonts w:ascii="Times New Roman" w:hAnsi="Times New Roman"/>
          <w:b w:val="0"/>
          <w:i w:val="0"/>
          <w:sz w:val="24"/>
        </w:rPr>
        <w:t>3. Isolated Progressive Web Application (PWA) Runtime: An air-gapped, zero-permission HTML5/WebAssembly container executing within modern mobile browser engines (WebKit / Blink). By leveraging Service Workers (`sw.js`) and the `CacheStorage` API, this runtime achieves 100% offline autonomy without network socket allocation.</w:t>
      </w:r>
    </w:p>
    <w:p>
      <w:pPr>
        <w:spacing w:before="0" w:after="120" w:line="360" w:lineRule="auto"/>
        <w:jc w:val="both"/>
      </w:pPr>
      <w:r>
        <w:rPr>
          <w:rFonts w:ascii="Times New Roman" w:hAnsi="Times New Roman"/>
          <w:b w:val="0"/>
          <w:i w:val="0"/>
          <w:sz w:val="24"/>
        </w:rPr>
        <w:t>Table 5.1 provides a detailed comparative summary of the compute resources, clock speeds, and memory allocations across the supported target environments.</w:t>
      </w:r>
    </w:p>
    <w:p>
      <w:pPr>
        <w:spacing w:before="200" w:after="80" w:line="360" w:lineRule="auto"/>
        <w:jc w:val="left"/>
      </w:pPr>
      <w:r>
        <w:rPr>
          <w:rFonts w:ascii="Times New Roman" w:hAnsi="Times New Roman"/>
          <w:b/>
          <w:i w:val="0"/>
          <w:color w:val="1E293B"/>
          <w:sz w:val="24"/>
        </w:rPr>
        <w:t>5.1.2 Software Libraries, Frameworks, and Toolchains</w:t>
      </w:r>
    </w:p>
    <w:p>
      <w:pPr>
        <w:spacing w:before="0" w:after="120" w:line="360" w:lineRule="auto"/>
        <w:jc w:val="both"/>
      </w:pPr>
      <w:r>
        <w:rPr>
          <w:rFonts w:ascii="Times New Roman" w:hAnsi="Times New Roman"/>
          <w:b w:val="0"/>
          <w:i w:val="0"/>
          <w:sz w:val="24"/>
        </w:rPr>
        <w:t>The software development ecosystem was curated to minimize third-party overhead and ensure deterministic execution on embedded platforms. Table 5.2 outlines the complete software toolchain and library dependencies utilized in the implementation.</w:t>
      </w:r>
    </w:p>
    <w:p>
      <w:pPr>
        <w:spacing w:before="0" w:after="120" w:line="360" w:lineRule="auto"/>
        <w:jc w:val="both"/>
      </w:pPr>
      <w:r>
        <w:rPr>
          <w:rFonts w:ascii="Times New Roman" w:hAnsi="Times New Roman"/>
          <w:b w:val="0"/>
          <w:i w:val="0"/>
          <w:sz w:val="24"/>
        </w:rPr>
        <w:t>As outlined in Table 5.2, embedded C/C++ firmware was compiled using the GNU Arm Embedded Toolchain (`arm-none-eabi-gcc` 12.3) with optimization flag `-O3` and link-time optimization (LTO) enabled. Digital signal processing kernels utilized CMSIS-DSP v1.14 for vector math, while neural layers interfaced with CMSIS-NN for 8-bit quantized matrix multiplication. The web sandbox runtime was engineered using pure vanilla ECMAScript 2022 without external heavyweight web frameworks, guaranteeing instant execution and sub-millisecond garbage collection pauses.</w:t>
      </w:r>
    </w:p>
    <w:p>
      <w:pPr>
        <w:spacing w:before="200" w:after="80" w:line="360" w:lineRule="auto"/>
        <w:jc w:val="left"/>
      </w:pPr>
      <w:r>
        <w:rPr>
          <w:rFonts w:ascii="Times New Roman" w:hAnsi="Times New Roman"/>
          <w:b/>
          <w:i w:val="0"/>
          <w:color w:val="1E293B"/>
          <w:sz w:val="24"/>
        </w:rPr>
        <w:t>5.1.3 Development Environment, Tooling, and Testbenches</w:t>
      </w:r>
    </w:p>
    <w:p>
      <w:pPr>
        <w:spacing w:before="0" w:after="120" w:line="360" w:lineRule="auto"/>
        <w:jc w:val="both"/>
      </w:pPr>
      <w:r>
        <w:rPr>
          <w:rFonts w:ascii="Times New Roman" w:hAnsi="Times New Roman"/>
          <w:b w:val="0"/>
          <w:i w:val="0"/>
          <w:sz w:val="24"/>
        </w:rPr>
        <w:t>Firmware development, real-time debugging, and telemetry logging were conducted within Visual Studio Code integrated with the Segger Embedded Studio toolchain and Segger J-Link Plus hardware debug probes via Serial Wire Debug (SWD).</w:t>
      </w:r>
    </w:p>
    <w:p>
      <w:pPr>
        <w:spacing w:before="0" w:after="120" w:line="360" w:lineRule="auto"/>
        <w:jc w:val="both"/>
      </w:pPr>
      <w:r>
        <w:rPr>
          <w:rFonts w:ascii="Times New Roman" w:hAnsi="Times New Roman"/>
          <w:b w:val="0"/>
          <w:i w:val="0"/>
          <w:sz w:val="24"/>
        </w:rPr>
        <w:t>For physical biosignal simulation and sensor verification, an automated hardware-in-the-loop (HIL) testbench was constructed. A programmable function generator delivered calibrated synthetic photoplethysmography pulse trains (0.5 Hz to 4.0 Hz, 1 mV to 10 mV peak-to-peak) to the analog front-end (AFE). Motion corruption was mechanically introduced using an electrodynamic vibration shaker table delivering controlled multi-axis sinusoidal vibrations (1 Hz to 20 Hz, 0.2g to 2.5g acceleration) to simulate violent running, typing, and loose-strap wear conditions.</w:t>
      </w:r>
    </w:p>
    <w:p>
      <w:pPr>
        <w:spacing w:before="0" w:after="120" w:line="360" w:lineRule="auto"/>
        <w:jc w:val="both"/>
      </w:pPr>
      <w:r>
        <w:rPr>
          <w:rFonts w:ascii="Times New Roman" w:hAnsi="Times New Roman"/>
          <w:b w:val="0"/>
          <w:i w:val="0"/>
          <w:sz w:val="24"/>
        </w:rPr>
        <w:t>Precision energy and power profiling was executed using a Nordic Semiconductor Power Profiler Kit II (PPK2). The PPK2 was configured in source meter mode supplying 3.70 V DC, logging active current draw across all operational states with a temporal resolution of 100,000 samples per second (100 kHz) and a dynamic current measurement range from 200 nA to 1.0 A.</w:t>
      </w:r>
    </w:p>
    <w:p>
      <w:pPr>
        <w:spacing w:before="240" w:after="120"/>
        <w:jc w:val="center"/>
      </w:pPr>
      <w:r>
        <w:rPr>
          <w:rFonts w:ascii="Times New Roman" w:hAnsi="Times New Roman"/>
          <w:b/>
          <w:color w:val="1E3A8A"/>
          <w:sz w:val="21"/>
        </w:rPr>
        <w:t>Table 5.1: Embedded Hardware Platform Comparison and Compute Resource Allocation</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left w:val="none"/>
          <w:right w:val="none"/>
          <w:insideV w:val="none"/>
        </w:tblBorders>
      </w:tblPr>
      <w:tblGrid>
        <w:gridCol w:w="1500"/>
        <w:gridCol w:w="1500"/>
        <w:gridCol w:w="1500"/>
        <w:gridCol w:w="1500"/>
        <w:gridCol w:w="1500"/>
        <w:gridCol w:w="1500"/>
      </w:tblGrid>
      <w:tr>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Platform Name</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Processor Architecture</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Clock Speed</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RAM Allocation</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Flash Storage</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Target Deployment Target</w:t>
            </w:r>
          </w:p>
        </w:tc>
      </w:tr>
      <w:tr>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Nordic Semiconductor nRF52840</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32-bit ARM Cortex-M4F with FPU</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64 MHz</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256 KB SRAM</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1,024 KB Flash</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Dedicated bare-metal wearable biometric tracker</w:t>
            </w:r>
          </w:p>
        </w:tc>
      </w:tr>
      <w:tr>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STMicroelectronics STM32WB55</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Dual-core ARM Cortex-M4 / Cortex-M0+</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64 MHz / 32 MHz</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256 KB SRAM</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1,024 KB Flash</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Wireless medical IoT wrist-worn clinical device</w:t>
            </w:r>
          </w:p>
        </w:tc>
      </w:tr>
      <w:tr>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Apple Watch Series 9 / Ultra 2</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Apple Silicon S9 SiP (Dual-core 64-bit)</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1.8 GHz dynamic</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1,024 MB LPDDR4X</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64 GB eMMC Flash</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Commercial high-tier smartwatch consumer application</w:t>
            </w:r>
          </w:p>
        </w:tc>
      </w:tr>
      <w:tr>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Air-Gapped WebAssembly Sandbox</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Wasm / Modern Browser Core (WebKit/Blink)</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Virtual Clock</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16 MB Virtual Heap</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IndexedDB / LocalStorage</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Zero-cloud offline progressive web application (PWA)</w:t>
            </w:r>
          </w:p>
        </w:tc>
      </w:tr>
    </w:tbl>
    <w:p>
      <w:pPr>
        <w:spacing w:before="0" w:after="160"/>
      </w:pPr>
    </w:p>
    <w:p>
      <w:pPr>
        <w:spacing w:before="240" w:after="120"/>
        <w:jc w:val="center"/>
      </w:pPr>
      <w:r>
        <w:rPr>
          <w:rFonts w:ascii="Times New Roman" w:hAnsi="Times New Roman"/>
          <w:b/>
          <w:color w:val="1E3A8A"/>
          <w:sz w:val="21"/>
        </w:rPr>
        <w:t>Table 5.2: Software Toolchains, Libraries, Compilers, and Runtime Dependencies</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left w:val="none"/>
          <w:right w:val="none"/>
          <w:insideV w:val="none"/>
        </w:tblBorders>
      </w:tblPr>
      <w:tblGrid>
        <w:gridCol w:w="2250"/>
        <w:gridCol w:w="2250"/>
        <w:gridCol w:w="2250"/>
        <w:gridCol w:w="2250"/>
      </w:tblGrid>
      <w:tr>
        <w:tc>
          <w:tcPr>
            <w:tcW w:type="dxa" w:w="225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Software Layer</w:t>
            </w:r>
          </w:p>
        </w:tc>
        <w:tc>
          <w:tcPr>
            <w:tcW w:type="dxa" w:w="225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Tool / Library Name</w:t>
            </w:r>
          </w:p>
        </w:tc>
        <w:tc>
          <w:tcPr>
            <w:tcW w:type="dxa" w:w="225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Version</w:t>
            </w:r>
          </w:p>
        </w:tc>
        <w:tc>
          <w:tcPr>
            <w:tcW w:type="dxa" w:w="225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Functional Role and Engineering Purpose</w:t>
            </w:r>
          </w:p>
        </w:tc>
      </w:tr>
      <w:tr>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C/C++ Compiler</w:t>
            </w:r>
          </w:p>
        </w:tc>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GNU Arm Embedded Toolchain (arm-none-eabi-gcc)</w:t>
            </w:r>
          </w:p>
        </w:tc>
        <w:tc>
          <w:tcPr>
            <w:tcW w:type="dxa" w:w="225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12.3.rel1</w:t>
            </w:r>
          </w:p>
        </w:tc>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Cross-compilation of bare-metal C/C++ firmware with -O3 and link-time optimization (LTO).</w:t>
            </w:r>
          </w:p>
        </w:tc>
      </w:tr>
      <w:tr>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DSP Processing</w:t>
            </w:r>
          </w:p>
        </w:tc>
        <w:tc>
          <w:tcPr>
            <w:tcW w:type="dxa" w:w="225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ARM CMSIS-DSP Library</w:t>
            </w:r>
          </w:p>
        </w:tc>
        <w:tc>
          <w:tcPr>
            <w:tcW w:type="dxa" w:w="225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v1.14.4</w:t>
            </w:r>
          </w:p>
        </w:tc>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Vector mathematics, 3rd-order Butterworth IIR filtering, and fast FFT implementations.</w:t>
            </w:r>
          </w:p>
        </w:tc>
      </w:tr>
      <w:tr>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Neural Kernels</w:t>
            </w:r>
          </w:p>
        </w:tc>
        <w:tc>
          <w:tcPr>
            <w:tcW w:type="dxa" w:w="225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ARM CMSIS-NN Library</w:t>
            </w:r>
          </w:p>
        </w:tc>
        <w:tc>
          <w:tcPr>
            <w:tcW w:type="dxa" w:w="225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v4.1.0</w:t>
            </w:r>
          </w:p>
        </w:tc>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Optimized INT8 quantized neural network inference kernels utilizing Cortex-M DSP instructions.</w:t>
            </w:r>
          </w:p>
        </w:tc>
      </w:tr>
      <w:tr>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TinyML Runtime</w:t>
            </w:r>
          </w:p>
        </w:tc>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TensorFlow Lite for Microcontrollers (TFLM)</w:t>
            </w:r>
          </w:p>
        </w:tc>
        <w:tc>
          <w:tcPr>
            <w:tcW w:type="dxa" w:w="225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v2.12.0</w:t>
            </w:r>
          </w:p>
        </w:tc>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Static memory arena allocator and interpreter for embedded neural graph execution.</w:t>
            </w:r>
          </w:p>
        </w:tc>
      </w:tr>
      <w:tr>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Web Runtime</w:t>
            </w:r>
          </w:p>
        </w:tc>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Modern ECMAScript (Vanilla ES6+)</w:t>
            </w:r>
          </w:p>
        </w:tc>
        <w:tc>
          <w:tcPr>
            <w:tcW w:type="dxa" w:w="225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ES2022 Standard</w:t>
            </w:r>
          </w:p>
        </w:tc>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Air-gapped application logic, 2-layer MLP engine, and Micro-SGD on-device backpropagation.</w:t>
            </w:r>
          </w:p>
        </w:tc>
      </w:tr>
      <w:tr>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Offline Cache</w:t>
            </w:r>
          </w:p>
        </w:tc>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Service Worker API (sw.js) &amp; CacheStorage</w:t>
            </w:r>
          </w:p>
        </w:tc>
        <w:tc>
          <w:tcPr>
            <w:tcW w:type="dxa" w:w="225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W3C PWA Standard</w:t>
            </w:r>
          </w:p>
        </w:tc>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100% offline asset caching, zero network socket access, persistent air-gapped lifecycle.</w:t>
            </w:r>
          </w:p>
        </w:tc>
      </w:tr>
      <w:tr>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Graphics Engine</w:t>
            </w:r>
          </w:p>
        </w:tc>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HTML5 Canvas 2D Rendering Context</w:t>
            </w:r>
          </w:p>
        </w:tc>
        <w:tc>
          <w:tcPr>
            <w:tcW w:type="dxa" w:w="225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HTML5 Standard</w:t>
            </w:r>
          </w:p>
        </w:tc>
        <w:tc>
          <w:tcPr>
            <w:tcW w:type="dxa" w:w="225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High-DPI polar coordinate circular gauge drawing, 60 fps anti-aliased progress arcs.</w:t>
            </w:r>
          </w:p>
        </w:tc>
      </w:tr>
      <w:tr>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Hardware Profiler</w:t>
            </w:r>
          </w:p>
        </w:tc>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Nordic Power Profiler Kit II Software</w:t>
            </w:r>
          </w:p>
        </w:tc>
        <w:tc>
          <w:tcPr>
            <w:tcW w:type="dxa" w:w="225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v3.5.2</w:t>
            </w:r>
          </w:p>
        </w:tc>
        <w:tc>
          <w:tcPr>
            <w:tcW w:type="dxa" w:w="225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High-resolution sub-microamp current and power consumption logging at 100 kHz.</w:t>
            </w:r>
          </w:p>
        </w:tc>
      </w:tr>
    </w:tbl>
    <w:p>
      <w:pPr>
        <w:spacing w:before="0" w:after="160"/>
      </w:pPr>
    </w:p>
    <w:p>
      <w:pPr>
        <w:spacing w:before="280" w:after="120" w:line="360" w:lineRule="auto"/>
        <w:jc w:val="left"/>
      </w:pPr>
      <w:r>
        <w:rPr>
          <w:rFonts w:ascii="Times New Roman" w:hAnsi="Times New Roman"/>
          <w:b/>
          <w:i w:val="0"/>
          <w:color w:val="0F172A"/>
          <w:sz w:val="28"/>
        </w:rPr>
        <w:t>5.2 Detailed Subsystem and Module Descriptions</w:t>
      </w:r>
    </w:p>
    <w:p>
      <w:pPr>
        <w:spacing w:before="0" w:after="120" w:line="360" w:lineRule="auto"/>
        <w:jc w:val="both"/>
      </w:pPr>
      <w:r>
        <w:rPr>
          <w:rFonts w:ascii="Times New Roman" w:hAnsi="Times New Roman"/>
          <w:b w:val="0"/>
          <w:i w:val="0"/>
          <w:sz w:val="24"/>
        </w:rPr>
        <w:t>InstaHealth is organized into six highly optimized, modular software subsystems. Each module encapsulates a specific physiological or computational responsibility, communicating through thread-safe shared memory buffers.</w:t>
      </w:r>
    </w:p>
    <w:p>
      <w:pPr>
        <w:spacing w:before="200" w:after="80" w:line="360" w:lineRule="auto"/>
        <w:jc w:val="left"/>
      </w:pPr>
      <w:r>
        <w:rPr>
          <w:rFonts w:ascii="Times New Roman" w:hAnsi="Times New Roman"/>
          <w:b/>
          <w:i w:val="0"/>
          <w:color w:val="1E293B"/>
          <w:sz w:val="24"/>
        </w:rPr>
        <w:t>5.2.1 Module 1: Continuous Biosignal Ingestion &amp; Quality Filtering</w:t>
      </w:r>
    </w:p>
    <w:p>
      <w:pPr>
        <w:spacing w:before="0" w:after="120" w:line="360" w:lineRule="auto"/>
        <w:jc w:val="both"/>
      </w:pPr>
      <w:r>
        <w:rPr>
          <w:rFonts w:ascii="Times New Roman" w:hAnsi="Times New Roman"/>
          <w:b w:val="0"/>
          <w:i w:val="0"/>
          <w:sz w:val="24"/>
        </w:rPr>
        <w:t>Module 1 is responsible for raw sensor ingestion, circular buffer management, and real-time noise suppression. The analog front-end continuously samples green optical reflectance at 25 Hz and triaxial accelerometry at 50 Hz. Incoming data points are transferred via DMA into a 256-sample static circular queue.</w:t>
      </w:r>
    </w:p>
    <w:p>
      <w:pPr>
        <w:spacing w:before="0" w:after="120" w:line="360" w:lineRule="auto"/>
        <w:jc w:val="both"/>
      </w:pPr>
      <w:r>
        <w:rPr>
          <w:rFonts w:ascii="Times New Roman" w:hAnsi="Times New Roman"/>
          <w:b w:val="0"/>
          <w:i w:val="0"/>
          <w:sz w:val="24"/>
        </w:rPr>
        <w:t>To eliminate baseline respiratory wander and 50/60 Hz power-line interference, the module executes a cascaded 3rd-order digital Butterworth bandpass filter (passband: 0.5–4.0 Hz). Concurrently, a sliding 5-second Signal Quality Index (SQI) evaluator computes the spectral power ratio and statistical kurtosis of the optical pulse train. If the accelerometer indicates severe kinetic motion (variance &gt; 1.8g) or if the optical SQI drops below 0.40, the window is marked as 'Artifact Corrupted', suppressing parameter updates to prevent baseline divergence.</w:t>
      </w:r>
    </w:p>
    <w:p>
      <w:pPr>
        <w:spacing w:before="200" w:after="80" w:line="360" w:lineRule="auto"/>
        <w:jc w:val="left"/>
      </w:pPr>
      <w:r>
        <w:rPr>
          <w:rFonts w:ascii="Times New Roman" w:hAnsi="Times New Roman"/>
          <w:b/>
          <w:i w:val="0"/>
          <w:color w:val="1E293B"/>
          <w:sz w:val="24"/>
        </w:rPr>
        <w:t>5.2.2 Module 2: Demographic Baseline Stratification &amp; Profile Manager</w:t>
      </w:r>
    </w:p>
    <w:p>
      <w:pPr>
        <w:spacing w:before="0" w:after="120" w:line="360" w:lineRule="auto"/>
        <w:jc w:val="both"/>
      </w:pPr>
      <w:r>
        <w:rPr>
          <w:rFonts w:ascii="Times New Roman" w:hAnsi="Times New Roman"/>
          <w:b w:val="0"/>
          <w:i w:val="0"/>
          <w:sz w:val="24"/>
        </w:rPr>
        <w:t>Module 2 manages multi-profile personas and provides immediate clinical grounding upon device initialization. To circumvent the cold-start problem without cloud queries, the module maintains an embedded ROM lookup table containing normative physiological distributions across five age cohorts (18-29, 30-39, 40-49, 50-59, and 60+).</w:t>
      </w:r>
    </w:p>
    <w:p>
      <w:pPr>
        <w:spacing w:before="0" w:after="120" w:line="360" w:lineRule="auto"/>
        <w:jc w:val="both"/>
      </w:pPr>
      <w:r>
        <w:rPr>
          <w:rFonts w:ascii="Times New Roman" w:hAnsi="Times New Roman"/>
          <w:b w:val="0"/>
          <w:i w:val="0"/>
          <w:sz w:val="24"/>
        </w:rPr>
        <w:t>Upon user onboarding, the module records chronological age and biological sex, immediately computing the individual's theoretical maximum heart rate using the Tanaka formula for males or the Gulati formula for females. The Profile Manager maintains four distinct user personas: Runner (🏃‍♂️), Meditator (🧘), Cyclist (🚴), and Swimmer (🏊). Table 5.3 delineates the isolated memory partitions, baseline priors, and parameter storage allocated to each profile.</w:t>
      </w:r>
    </w:p>
    <w:p>
      <w:pPr>
        <w:spacing w:before="0" w:after="120" w:line="360" w:lineRule="auto"/>
        <w:jc w:val="both"/>
      </w:pPr>
      <w:r>
        <w:rPr>
          <w:rFonts w:ascii="Times New Roman" w:hAnsi="Times New Roman"/>
          <w:b w:val="0"/>
          <w:i w:val="0"/>
          <w:sz w:val="24"/>
        </w:rPr>
        <w:t>Context switching between personas is executed in under 50 milliseconds by swapping internal data pointers in SRAM, allowing a single wearable device to seamlessly adapt to diverse athletic modalities without cross-profile contamination.</w:t>
      </w:r>
    </w:p>
    <w:p>
      <w:pPr>
        <w:spacing w:before="200" w:after="80" w:line="360" w:lineRule="auto"/>
        <w:jc w:val="left"/>
      </w:pPr>
      <w:r>
        <w:rPr>
          <w:rFonts w:ascii="Times New Roman" w:hAnsi="Times New Roman"/>
          <w:b/>
          <w:i w:val="0"/>
          <w:color w:val="1E293B"/>
          <w:sz w:val="24"/>
        </w:rPr>
        <w:t>5.2.3 Module 3: 48-Hour Calibration State Machine</w:t>
      </w:r>
    </w:p>
    <w:p>
      <w:pPr>
        <w:spacing w:before="0" w:after="120" w:line="360" w:lineRule="auto"/>
        <w:jc w:val="both"/>
      </w:pPr>
      <w:r>
        <w:rPr>
          <w:rFonts w:ascii="Times New Roman" w:hAnsi="Times New Roman"/>
          <w:b w:val="0"/>
          <w:i w:val="0"/>
          <w:sz w:val="24"/>
        </w:rPr>
        <w:t>Module 3 controls the temporal lifecycle of the physiological model. The state machine transitions through three deterministic operational states across the initial wear cycle, as visually illustrated in Figure 5.1.</w:t>
      </w:r>
    </w:p>
    <w:p>
      <w:pPr>
        <w:spacing w:before="240" w:after="80"/>
        <w:jc w:val="center"/>
      </w:pPr>
      <w:r>
        <w:drawing>
          <wp:inline xmlns:a="http://schemas.openxmlformats.org/drawingml/2006/main" xmlns:pic="http://schemas.openxmlformats.org/drawingml/2006/picture">
            <wp:extent cx="5303520" cy="2651760"/>
            <wp:docPr id="6" name="Picture 6"/>
            <wp:cNvGraphicFramePr>
              <a:graphicFrameLocks noChangeAspect="1"/>
            </wp:cNvGraphicFramePr>
            <a:graphic>
              <a:graphicData uri="http://schemas.openxmlformats.org/drawingml/2006/picture">
                <pic:pic>
                  <pic:nvPicPr>
                    <pic:cNvPr id="0" name="fig_3_2_workflow.png"/>
                    <pic:cNvPicPr/>
                  </pic:nvPicPr>
                  <pic:blipFill>
                    <a:blip r:embed="rId15"/>
                    <a:stretch>
                      <a:fillRect/>
                    </a:stretch>
                  </pic:blipFill>
                  <pic:spPr>
                    <a:xfrm>
                      <a:off x="0" y="0"/>
                      <a:ext cx="5303520" cy="2651760"/>
                    </a:xfrm>
                    <a:prstGeom prst="rect"/>
                  </pic:spPr>
                </pic:pic>
              </a:graphicData>
            </a:graphic>
          </wp:inline>
        </w:drawing>
      </w:r>
    </w:p>
    <w:p>
      <w:pPr>
        <w:spacing w:before="40" w:after="280"/>
        <w:jc w:val="center"/>
      </w:pPr>
      <w:r>
        <w:rPr>
          <w:rFonts w:ascii="Times New Roman" w:hAnsi="Times New Roman"/>
          <w:b/>
          <w:color w:val="334155"/>
          <w:sz w:val="21"/>
        </w:rPr>
        <w:t>Figure 5.1: InstaHealth 48-Hour On-Device Calibration and Lifecycle State Machine Workflow</w:t>
      </w:r>
    </w:p>
    <w:p>
      <w:pPr>
        <w:spacing w:before="0" w:after="120" w:line="360" w:lineRule="auto"/>
        <w:jc w:val="both"/>
      </w:pPr>
      <w:r>
        <w:rPr>
          <w:rFonts w:ascii="Times New Roman" w:hAnsi="Times New Roman"/>
          <w:b w:val="0"/>
          <w:i w:val="0"/>
          <w:sz w:val="24"/>
        </w:rPr>
        <w:t>As depicted in Figure 5.1, the state transitions operate as follows:</w:t>
      </w:r>
    </w:p>
    <w:p>
      <w:pPr>
        <w:spacing w:before="0" w:after="120" w:line="360" w:lineRule="auto"/>
        <w:jc w:val="both"/>
      </w:pPr>
      <w:r>
        <w:rPr>
          <w:rFonts w:ascii="Times New Roman" w:hAnsi="Times New Roman"/>
          <w:b w:val="0"/>
          <w:i w:val="0"/>
          <w:sz w:val="24"/>
        </w:rPr>
        <w:t>• State 1: Day 1 (UNCALIBRATED): The system operates in purely passive observation mode. Raw telemetry is accumulated, and the user interface displays side-by-side comparative arcs ('You' vs 'Human Average') across resting HR, steps, active calories, and sleep. No intrusive alerts or target demands are enforced.</w:t>
      </w:r>
    </w:p>
    <w:p>
      <w:pPr>
        <w:spacing w:before="0" w:after="120" w:line="360" w:lineRule="auto"/>
        <w:jc w:val="both"/>
      </w:pPr>
      <w:r>
        <w:rPr>
          <w:rFonts w:ascii="Times New Roman" w:hAnsi="Times New Roman"/>
          <w:b w:val="0"/>
          <w:i w:val="0"/>
          <w:sz w:val="24"/>
        </w:rPr>
        <w:t>• State 2: Day 2 (CALIBRATING): The system continues continuous telemetry logging while computing 24-hour moving averages. The state machine evaluates physiological stability and nocturnal resting heart rate variance. The UI reinforces the calibration progress with encouraging feedback.</w:t>
      </w:r>
    </w:p>
    <w:p>
      <w:pPr>
        <w:spacing w:before="0" w:after="120" w:line="360" w:lineRule="auto"/>
        <w:jc w:val="both"/>
      </w:pPr>
      <w:r>
        <w:rPr>
          <w:rFonts w:ascii="Times New Roman" w:hAnsi="Times New Roman"/>
          <w:b w:val="0"/>
          <w:i w:val="0"/>
          <w:sz w:val="24"/>
        </w:rPr>
        <w:t>• State 3: Day 3+ (CALIBRATED): Upon the arrival of Day 3 (crossing the 48-hour continuous wear threshold), the state machine executes an automatic transition trigger. The converged observational baseline is locked into local storage, the static comparative display is retired, and the dynamic prescription engine is permanently unlocked.</w:t>
      </w:r>
    </w:p>
    <w:p>
      <w:pPr>
        <w:spacing w:before="200" w:after="80" w:line="360" w:lineRule="auto"/>
        <w:jc w:val="left"/>
      </w:pPr>
      <w:r>
        <w:rPr>
          <w:rFonts w:ascii="Times New Roman" w:hAnsi="Times New Roman"/>
          <w:b/>
          <w:i w:val="0"/>
          <w:color w:val="1E293B"/>
          <w:sz w:val="24"/>
        </w:rPr>
        <w:t>5.2.4 Module 4: Dynamic Prescription Synthesis Generator</w:t>
      </w:r>
    </w:p>
    <w:p>
      <w:pPr>
        <w:spacing w:before="0" w:after="120" w:line="360" w:lineRule="auto"/>
        <w:jc w:val="both"/>
      </w:pPr>
      <w:r>
        <w:rPr>
          <w:rFonts w:ascii="Times New Roman" w:hAnsi="Times New Roman"/>
          <w:b w:val="0"/>
          <w:i w:val="0"/>
          <w:sz w:val="24"/>
        </w:rPr>
        <w:t>Module 4 replaces rigid, one-size-fits-all targets with adaptive daily health prescriptions synthesized from live autonomic recovery data. Every morning upon awakening (detected via actigraphy cessation), the generator evaluates three interconnected physiological models:</w:t>
      </w:r>
    </w:p>
    <w:p>
      <w:pPr>
        <w:spacing w:before="0" w:after="120" w:line="360" w:lineRule="auto"/>
        <w:jc w:val="both"/>
      </w:pPr>
      <w:r>
        <w:rPr>
          <w:rFonts w:ascii="Times New Roman" w:hAnsi="Times New Roman"/>
          <w:b w:val="0"/>
          <w:i w:val="0"/>
          <w:sz w:val="24"/>
        </w:rPr>
        <w:t>1. Dynamic Sleep Need: Computes nocturnal sleep debt using the Belenky autoregressive decay equation (Debt_t = Deficit_t + 0.5 × Debt_{t-1}). The prescribed sleep target is dynamically expanded by up to 90 minutes to repay accumulated debt without causing sleep fragmentation.</w:t>
      </w:r>
    </w:p>
    <w:p>
      <w:pPr>
        <w:spacing w:before="0" w:after="120" w:line="360" w:lineRule="auto"/>
        <w:jc w:val="both"/>
      </w:pPr>
      <w:r>
        <w:rPr>
          <w:rFonts w:ascii="Times New Roman" w:hAnsi="Times New Roman"/>
          <w:b w:val="0"/>
          <w:i w:val="0"/>
          <w:sz w:val="24"/>
        </w:rPr>
        <w:t>2. Cardiovascular Strain Ceiling: Evaluates the Karvonen Heart Rate Reserve (HRR) using the calibrated nocturnal resting heart rate (HRrest). Prescribes personalized cardiovascular training zones (Active Recovery, Fat Burn, Aerobic, Threshold, VO2 Max) and calculates maximum safe strain limits.</w:t>
      </w:r>
    </w:p>
    <w:p>
      <w:pPr>
        <w:spacing w:before="0" w:after="120" w:line="360" w:lineRule="auto"/>
        <w:jc w:val="both"/>
      </w:pPr>
      <w:r>
        <w:rPr>
          <w:rFonts w:ascii="Times New Roman" w:hAnsi="Times New Roman"/>
          <w:b w:val="0"/>
          <w:i w:val="0"/>
          <w:sz w:val="24"/>
        </w:rPr>
        <w:t>3. Adaptive Step Target: Modulates daily step targets based on accumulated systemic strain. If nocturnal HRV (RMSSD) indicates sympathetic overtraining, the step target is dynamically scaled downward by 15–20% to prioritize physiological recovery.</w:t>
      </w:r>
    </w:p>
    <w:p>
      <w:pPr>
        <w:spacing w:before="0" w:after="120" w:line="360" w:lineRule="auto"/>
        <w:jc w:val="both"/>
      </w:pPr>
      <w:r>
        <w:rPr>
          <w:rFonts w:ascii="Times New Roman" w:hAnsi="Times New Roman"/>
          <w:b w:val="0"/>
          <w:i w:val="0"/>
          <w:sz w:val="24"/>
        </w:rPr>
        <w:t>4. Sedentary Alert Monitor: Continuously tracks motionless periods via the accelerometer, issuing gentle haptic alerts after 60 minutes of uninterrupted inactivity.</w:t>
      </w:r>
    </w:p>
    <w:p>
      <w:pPr>
        <w:spacing w:before="200" w:after="80" w:line="360" w:lineRule="auto"/>
        <w:jc w:val="left"/>
      </w:pPr>
      <w:r>
        <w:rPr>
          <w:rFonts w:ascii="Times New Roman" w:hAnsi="Times New Roman"/>
          <w:b/>
          <w:i w:val="0"/>
          <w:color w:val="1E293B"/>
          <w:sz w:val="24"/>
        </w:rPr>
        <w:t>5.2.5 Module 5: On-Device TinyML Micro-SGD Optimization Engine</w:t>
      </w:r>
    </w:p>
    <w:p>
      <w:pPr>
        <w:spacing w:before="0" w:after="120" w:line="360" w:lineRule="auto"/>
        <w:jc w:val="both"/>
      </w:pPr>
      <w:r>
        <w:rPr>
          <w:rFonts w:ascii="Times New Roman" w:hAnsi="Times New Roman"/>
          <w:b w:val="0"/>
          <w:i w:val="0"/>
          <w:sz w:val="24"/>
        </w:rPr>
        <w:t>Module 5 implements the on-device neural learning pipeline. The neural network is architected as a lightweight 2-layer Multi-Layer Perceptron (MLP) with 5 input features, 8 hidden neurons with Rectified Linear Unit (ReLU) activations, and 3 linear output units corresponding to predicted sleep need, step target, and maximum strain.</w:t>
      </w:r>
    </w:p>
    <w:p>
      <w:pPr>
        <w:spacing w:before="0" w:after="120" w:line="360" w:lineRule="auto"/>
        <w:jc w:val="both"/>
      </w:pPr>
      <w:r>
        <w:rPr>
          <w:rFonts w:ascii="Times New Roman" w:hAnsi="Times New Roman"/>
          <w:b w:val="0"/>
          <w:i w:val="0"/>
          <w:sz w:val="24"/>
        </w:rPr>
        <w:t>Unlike conventional static edge models, Module 5 executes an incremental backward pass directly on the wearable microcontroller. At the conclusion of each 24-hour cycle, the system computes the Mean Squared Error (MSE) loss between the model's forward predictions and the user's actual observed recovery metrics. The Micro-SGD engine computes analytical backpropagation gradients and applies a hard gradient clipping invariant: |ΔW| ≤ 0.05. This bounded parameter update guarantees that the neural model personalizes smoothly over weeks of continuous wear while remaining completely immune to catastrophic divergence from transient sensor noise.</w:t>
      </w:r>
    </w:p>
    <w:p>
      <w:pPr>
        <w:spacing w:before="200" w:after="80" w:line="360" w:lineRule="auto"/>
        <w:jc w:val="left"/>
      </w:pPr>
      <w:r>
        <w:rPr>
          <w:rFonts w:ascii="Times New Roman" w:hAnsi="Times New Roman"/>
          <w:b/>
          <w:i w:val="0"/>
          <w:color w:val="1E293B"/>
          <w:sz w:val="24"/>
        </w:rPr>
        <w:t>5.2.6 Module 6: Glanceable Canvas-Based Circular Ring Visualizer</w:t>
      </w:r>
    </w:p>
    <w:p>
      <w:pPr>
        <w:spacing w:before="0" w:after="120" w:line="360" w:lineRule="auto"/>
        <w:jc w:val="both"/>
      </w:pPr>
      <w:r>
        <w:rPr>
          <w:rFonts w:ascii="Times New Roman" w:hAnsi="Times New Roman"/>
          <w:b w:val="0"/>
          <w:i w:val="0"/>
          <w:sz w:val="24"/>
        </w:rPr>
        <w:t>Module 6 delivers a high-performance, low-power graphical user interface tailored specifically for round smartwatch displays (360x360 to 454x454 pixels). The visualizer is engineered directly using the HTML5 Canvas 2D context or embedded hardware 2D graphics accelerators.</w:t>
      </w:r>
    </w:p>
    <w:p>
      <w:pPr>
        <w:spacing w:before="0" w:after="120" w:line="360" w:lineRule="auto"/>
        <w:jc w:val="both"/>
      </w:pPr>
      <w:r>
        <w:rPr>
          <w:rFonts w:ascii="Times New Roman" w:hAnsi="Times New Roman"/>
          <w:b w:val="0"/>
          <w:i w:val="0"/>
          <w:sz w:val="24"/>
        </w:rPr>
        <w:t>The rendering pipeline computes arc sweeps in polar coordinates, applying trigonometric transformations to project percentage completion values to radian angles [0, 2π]. The engine supports dual rendering modes: in the uncalibrated calibration state, it paints concentric comparative arcs comparing user telemetry against demographic averages; in the calibrated state, it renders a multi-ring horizontal carousel displaying color-coded dynamic prescriptions. The UI maintains a solid 60 fps refresh rate with smooth anti-aliased edge smoothing while consuming less than 48.6 KB of executable storage.</w:t>
      </w:r>
    </w:p>
    <w:p>
      <w:pPr>
        <w:spacing w:before="240" w:after="120"/>
        <w:jc w:val="center"/>
      </w:pPr>
      <w:r>
        <w:rPr>
          <w:rFonts w:ascii="Times New Roman" w:hAnsi="Times New Roman"/>
          <w:b/>
          <w:color w:val="1E3A8A"/>
          <w:sz w:val="21"/>
        </w:rPr>
        <w:t>Table 5.3: InstaHealth Multi-Profile Avatar Sandboxing and Namespace Partitioning</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left w:val="none"/>
          <w:right w:val="none"/>
          <w:insideV w:val="none"/>
        </w:tblBorders>
      </w:tblPr>
      <w:tblGrid>
        <w:gridCol w:w="1500"/>
        <w:gridCol w:w="1500"/>
        <w:gridCol w:w="1500"/>
        <w:gridCol w:w="1500"/>
        <w:gridCol w:w="1500"/>
        <w:gridCol w:w="1500"/>
      </w:tblGrid>
      <w:tr>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Profile Avatar</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Persona Modality</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Primary Activity Focus</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Baseline Prior Allocation</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Isolated State Storage Key</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Partition Size</w:t>
            </w:r>
          </w:p>
        </w:tc>
      </w:tr>
      <w:tr>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 Runner</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High-Intensity Endurance</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Aerobic capacity, tempo running, cadence</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Cal: 2,600 kcal; Steps: 10,000; Sleep: 8.0h</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instahealth_profile_runner</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1,024 bytes</w:t>
            </w:r>
          </w:p>
        </w:tc>
      </w:tr>
      <w:tr>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 Meditator</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Mindfulness &amp; Restoration</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Autonomic tone, resting HRV, deep sleep</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Cal: 1,900 kcal; Steps: 6,000; Sleep: 7.5h</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instahealth_profile_meditator</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1,024 bytes</w:t>
            </w:r>
          </w:p>
        </w:tc>
      </w:tr>
      <w:tr>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 Cyclist</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Cardiovascular Conditioning</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Power output, sustained Zone 3 aerobic endurance</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Cal: 2,500 kcal; Steps: 7,000; Sleep: 7.8h</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instahealth_profile_cyclist</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1,024 bytes</w:t>
            </w:r>
          </w:p>
        </w:tc>
      </w:tr>
      <w:tr>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 Swimmer</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Full-Body Metabolic Training</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Low-impact caloric expenditure, pulmonary volume</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Cal: 2,400 kcal; Steps: 6,500; Sleep: 8.2h</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instahealth_profile_swimmer</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1,024 bytes</w:t>
            </w:r>
          </w:p>
        </w:tc>
      </w:tr>
    </w:tbl>
    <w:p>
      <w:pPr>
        <w:spacing w:before="0" w:after="160"/>
      </w:pPr>
    </w:p>
    <w:p>
      <w:pPr>
        <w:spacing w:before="280" w:after="120" w:line="360" w:lineRule="auto"/>
        <w:jc w:val="left"/>
      </w:pPr>
      <w:r>
        <w:rPr>
          <w:rFonts w:ascii="Times New Roman" w:hAnsi="Times New Roman"/>
          <w:b/>
          <w:i w:val="0"/>
          <w:color w:val="0F172A"/>
          <w:sz w:val="28"/>
        </w:rPr>
        <w:t>5.3 Algorithmic Workflows and Methods</w:t>
      </w:r>
    </w:p>
    <w:p>
      <w:pPr>
        <w:spacing w:before="0" w:after="120" w:line="360" w:lineRule="auto"/>
        <w:jc w:val="both"/>
      </w:pPr>
      <w:r>
        <w:rPr>
          <w:rFonts w:ascii="Times New Roman" w:hAnsi="Times New Roman"/>
          <w:b w:val="0"/>
          <w:i w:val="0"/>
          <w:sz w:val="24"/>
        </w:rPr>
        <w:t>The mathematical and logical operations of InstaHealth are formalized in four core algorithmic workflows presented below in structured algorithmic format.</w:t>
      </w:r>
    </w:p>
    <w:p>
      <w:pPr>
        <w:spacing w:before="200" w:after="80" w:line="360" w:lineRule="auto"/>
        <w:jc w:val="left"/>
      </w:pPr>
      <w:r>
        <w:rPr>
          <w:rFonts w:ascii="Times New Roman" w:hAnsi="Times New Roman"/>
          <w:b/>
          <w:i w:val="0"/>
          <w:color w:val="1E293B"/>
          <w:sz w:val="24"/>
        </w:rPr>
        <w:t>5.3.1 Algorithm 5.1: Real-Time Signal Quality Index (SQI) and Artifact Filter</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180" w:type="dxa"/>
              <w:right w:w="180" w:type="dxa"/>
            </w:tcMar>
            <w:tcBorders>
              <w:top w:val="none"/>
              <w:bottom w:val="none"/>
              <w:left w:val="single" w:sz="24" w:space="0" w:color="3B82F6"/>
              <w:right w:val="none"/>
            </w:tcBorders>
          </w:tcPr>
          <w:p>
            <w:pPr>
              <w:spacing w:before="0" w:after="0" w:line="276" w:lineRule="auto"/>
            </w:pPr>
            <w:r>
              <w:rPr>
                <w:rFonts w:ascii="Courier New" w:hAnsi="Courier New"/>
                <w:color w:val="0F172A"/>
                <w:sz w:val="18"/>
              </w:rPr>
              <w:t>Algorithm 5.1 continuously evaluates the signal integrity of raw PPG and accelerometry telemetry buffers, suppressing corrupted data windows before they reach downstream physiological models.</w:t>
            </w:r>
          </w:p>
        </w:tc>
      </w:tr>
    </w:tbl>
    <w:p>
      <w:pPr>
        <w:spacing w:before="0" w:after="120"/>
      </w:pP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180" w:type="dxa"/>
              <w:right w:w="180" w:type="dxa"/>
            </w:tcMar>
            <w:tcBorders>
              <w:top w:val="none"/>
              <w:bottom w:val="none"/>
              <w:left w:val="single" w:sz="24" w:space="0" w:color="3B82F6"/>
              <w:right w:val="none"/>
            </w:tcBorders>
          </w:tcPr>
          <w:p>
            <w:pPr>
              <w:spacing w:before="0" w:after="0" w:line="276" w:lineRule="auto"/>
            </w:pPr>
            <w:r>
              <w:rPr>
                <w:rFonts w:ascii="Courier New" w:hAnsi="Courier New"/>
                <w:color w:val="0F172A"/>
                <w:sz w:val="18"/>
              </w:rPr>
              <w:t>Algorithm 5.1: Real-Time SQI and Motion Artifact Rejection</w:t>
              <w:br/>
              <w:t>Input: Raw PPG optical stream P[t], Accelerometer magnitude A[t], Sampling frequency fs = 25 Hz, Window size W = 128 samples</w:t>
              <w:br/>
              <w:t>Output: Filtered PPG signal P_filt[t], Binary validity flag IsValid</w:t>
              <w:br/>
              <w:t>----------------------------------------------------------------------------------------------------</w:t>
              <w:br/>
              <w:t>1: Initialize circular buffer Buf_PPG of size W, Buf_ACC of size W</w:t>
              <w:br/>
              <w:t>2: for each arriving sample pair (P[t], A[t]) do</w:t>
              <w:br/>
              <w:t>3:     Push P[t] into Buf_PPG; Push A[t] into Buf_ACC</w:t>
              <w:br/>
              <w:t>4:     if buffer length &lt; W then continue end if</w:t>
              <w:br/>
              <w:t>5:     // Apply 3rd-order Butterworth bandpass filter (0.5 Hz to 4.0 Hz)</w:t>
              <w:br/>
              <w:t>6:     P_filt = BandpassFilter(Buf_PPG, f_low=0.5, f_high=4.0, fs)</w:t>
              <w:br/>
              <w:t>7:     // Compute kinetic motion variance</w:t>
              <w:br/>
              <w:t>8:     Var_ACC = ComputeVariance(Buf_ACC)</w:t>
              <w:br/>
              <w:t>9:     // Compute optical Signal Quality Index (SQI)</w:t>
              <w:br/>
              <w:t>10:    Kurtosis_PPG = ComputeKurtosis(P_filt)</w:t>
              <w:br/>
              <w:t>11:    Peak_Periodicity = EvaluatePeakRegularity(P_filt)</w:t>
              <w:br/>
              <w:t>12:    SQI = (0.6 × Peak_Periodicity) + (0.4 × Normalize(Kurtosis_PPG))</w:t>
              <w:br/>
              <w:t>13:    if Var_ACC &gt; 1.80 OR SQI &lt; 0.40 then</w:t>
              <w:br/>
              <w:t>14:        IsValid = FALSE  // Flag window as motion-corrupted; suppress model updates</w:t>
              <w:br/>
              <w:t>15:    else</w:t>
              <w:br/>
              <w:t>16:        IsValid = TRUE   // Clean window; propagate to feature extractor</w:t>
              <w:br/>
              <w:t>17:    end if</w:t>
              <w:br/>
              <w:t>18:    return (P_filt, IsValid)</w:t>
              <w:br/>
              <w:t>19: end for</w:t>
            </w:r>
          </w:p>
        </w:tc>
      </w:tr>
    </w:tbl>
    <w:p>
      <w:pPr>
        <w:spacing w:before="0" w:after="120"/>
      </w:pPr>
    </w:p>
    <w:p>
      <w:pPr>
        <w:spacing w:before="200" w:after="80" w:line="360" w:lineRule="auto"/>
        <w:jc w:val="left"/>
      </w:pPr>
      <w:r>
        <w:rPr>
          <w:rFonts w:ascii="Times New Roman" w:hAnsi="Times New Roman"/>
          <w:b/>
          <w:i w:val="0"/>
          <w:color w:val="1E293B"/>
          <w:sz w:val="24"/>
        </w:rPr>
        <w:t>5.3.2 Algorithm 5.2: 48-Hour Multi-Phase Calibration State Machine</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180" w:type="dxa"/>
              <w:right w:w="180" w:type="dxa"/>
            </w:tcMar>
            <w:tcBorders>
              <w:top w:val="none"/>
              <w:bottom w:val="none"/>
              <w:left w:val="single" w:sz="24" w:space="0" w:color="3B82F6"/>
              <w:right w:val="none"/>
            </w:tcBorders>
          </w:tcPr>
          <w:p>
            <w:pPr>
              <w:spacing w:before="0" w:after="0" w:line="276" w:lineRule="auto"/>
            </w:pPr>
            <w:r>
              <w:rPr>
                <w:rFonts w:ascii="Courier New" w:hAnsi="Courier New"/>
                <w:color w:val="0F172A"/>
                <w:sz w:val="18"/>
              </w:rPr>
              <w:t>Algorithm 5.2 governs the autonomous transition from cold-start demographic population priors to individual physiological baselines over the standardized 48-hour continuous wear cycle.</w:t>
            </w:r>
          </w:p>
        </w:tc>
      </w:tr>
    </w:tbl>
    <w:p>
      <w:pPr>
        <w:spacing w:before="0" w:after="120"/>
      </w:pP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180" w:type="dxa"/>
              <w:right w:w="180" w:type="dxa"/>
            </w:tcMar>
            <w:tcBorders>
              <w:top w:val="none"/>
              <w:bottom w:val="none"/>
              <w:left w:val="single" w:sz="24" w:space="0" w:color="3B82F6"/>
              <w:right w:val="none"/>
            </w:tcBorders>
          </w:tcPr>
          <w:p>
            <w:pPr>
              <w:spacing w:before="0" w:after="0" w:line="276" w:lineRule="auto"/>
            </w:pPr>
            <w:r>
              <w:rPr>
                <w:rFonts w:ascii="Courier New" w:hAnsi="Courier New"/>
                <w:color w:val="0F172A"/>
                <w:sz w:val="18"/>
              </w:rPr>
              <w:t>Algorithm 5.2: 48-Hour Calibration State Machine Execution</w:t>
              <w:br/>
              <w:t>Input: Current calibration day index DayIndex, Historical baseline vector B, Demographic prior P_prior</w:t>
              <w:br/>
              <w:t>Output: Active operational state State, Calibrated baseline vector B_calib, Prescription lock flag LockFlag</w:t>
              <w:br/>
              <w:t>----------------------------------------------------------------------------------------------------</w:t>
              <w:br/>
              <w:t>1: if DayIndex == 1 then</w:t>
              <w:br/>
              <w:t>2:     State = UNCALIBRATED</w:t>
              <w:br/>
              <w:t>3:     LockFlag = FALSE</w:t>
              <w:br/>
              <w:t>4:     // Display comparative split view: User telemetry vs Demographic Prior</w:t>
              <w:br/>
              <w:t>5:     RenderSplitComparisonUI(UserTelemetry, P_prior)</w:t>
              <w:br/>
              <w:t>6:     B_calib = P_prior  // Maintain demographic prior as fallback baseline</w:t>
              <w:br/>
              <w:t>7: else if DayIndex == 2 then</w:t>
              <w:br/>
              <w:t>8:     State = CALIBRATING</w:t>
              <w:br/>
              <w:t>9:     LockFlag = FALSE</w:t>
              <w:br/>
              <w:t>10:    // Update moving average baseline with Day 1 observations</w:t>
              <w:br/>
              <w:t>11:    B_calib = (0.5 × P_prior) + (0.5 × UserObservedDay1)</w:t>
              <w:br/>
              <w:t>12:    RenderCalibrationProgressUI(Progress=50%)</w:t>
              <w:br/>
              <w:t>13: else if DayIndex &gt;= 3 then</w:t>
              <w:br/>
              <w:t>14:    State = CALIBRATED</w:t>
              <w:br/>
              <w:t>15:    LockFlag = TRUE</w:t>
              <w:br/>
              <w:t>16:    // Commit converged baseline to local non-volatile storage</w:t>
              <w:br/>
              <w:t>17:    B_calib = ExponentialMovingAverage(B_previous, UserObservedDay2, alpha=0.10)</w:t>
              <w:br/>
              <w:t>18:    SaveToLocalStorage(B_calib)</w:t>
              <w:br/>
              <w:t>19:    // Unlock dynamic prescription ring carousel</w:t>
              <w:br/>
              <w:t>20:    RenderPrescriptionCarouselUI(B_calib)</w:t>
              <w:br/>
              <w:t>21: end if</w:t>
              <w:br/>
              <w:t>22: return (State, B_calib, LockFlag)</w:t>
            </w:r>
          </w:p>
        </w:tc>
      </w:tr>
    </w:tbl>
    <w:p>
      <w:pPr>
        <w:spacing w:before="0" w:after="120"/>
      </w:pPr>
    </w:p>
    <w:p>
      <w:pPr>
        <w:spacing w:before="200" w:after="80" w:line="360" w:lineRule="auto"/>
        <w:jc w:val="left"/>
      </w:pPr>
      <w:r>
        <w:rPr>
          <w:rFonts w:ascii="Times New Roman" w:hAnsi="Times New Roman"/>
          <w:b/>
          <w:i w:val="0"/>
          <w:color w:val="1E293B"/>
          <w:sz w:val="24"/>
        </w:rPr>
        <w:t>5.3.3 Algorithm 5.3: On-Device Micro-SGD Bounded Weight Descent</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180" w:type="dxa"/>
              <w:right w:w="180" w:type="dxa"/>
            </w:tcMar>
            <w:tcBorders>
              <w:top w:val="none"/>
              <w:bottom w:val="none"/>
              <w:left w:val="single" w:sz="24" w:space="0" w:color="3B82F6"/>
              <w:right w:val="none"/>
            </w:tcBorders>
          </w:tcPr>
          <w:p>
            <w:pPr>
              <w:spacing w:before="0" w:after="0" w:line="276" w:lineRule="auto"/>
            </w:pPr>
            <w:r>
              <w:rPr>
                <w:rFonts w:ascii="Courier New" w:hAnsi="Courier New"/>
                <w:color w:val="0F172A"/>
                <w:sz w:val="18"/>
              </w:rPr>
              <w:t>Algorithm 5.3 implements the analytical backpropagation pass and hard gradient clipping invariant for the 2-layer TinyML Multi-Layer Perceptron.</w:t>
            </w:r>
          </w:p>
        </w:tc>
      </w:tr>
    </w:tbl>
    <w:p>
      <w:pPr>
        <w:spacing w:before="0" w:after="120"/>
      </w:pP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180" w:type="dxa"/>
              <w:right w:w="180" w:type="dxa"/>
            </w:tcMar>
            <w:tcBorders>
              <w:top w:val="none"/>
              <w:bottom w:val="none"/>
              <w:left w:val="single" w:sz="24" w:space="0" w:color="3B82F6"/>
              <w:right w:val="none"/>
            </w:tcBorders>
          </w:tcPr>
          <w:p>
            <w:pPr>
              <w:spacing w:before="0" w:after="0" w:line="276" w:lineRule="auto"/>
            </w:pPr>
            <w:r>
              <w:rPr>
                <w:rFonts w:ascii="Courier New" w:hAnsi="Courier New"/>
                <w:color w:val="0F172A"/>
                <w:sz w:val="18"/>
              </w:rPr>
              <w:t>Algorithm 5.3: Micro-SGD Gradient Descent with Bounded Clipping</w:t>
              <w:br/>
              <w:t>Input: Input feature vector x ∈ R^5, Observed recovery target vector y* ∈ R^3, Weights W1, W2, Biases b1, b2, Learning rate η = 0.01, Clip threshold δ_max = 0.05</w:t>
              <w:br/>
              <w:t>Output: Updated weights W1_new, W2_new, Updated biases b1_new, b2_new, MSE Loss L</w:t>
              <w:br/>
              <w:t>----------------------------------------------------------------------------------------------------</w:t>
              <w:br/>
              <w:t>1: // Forward Propagation</w:t>
              <w:br/>
              <w:t>2: z1 = (W1 · x) + b1               // z1 ∈ R^8</w:t>
              <w:br/>
              <w:t>3: h = max(0, z1)                  // ReLU activation, h ∈ R^8</w:t>
              <w:br/>
              <w:t>4: y_pred = (W2 · h) + b2          // Linear output, y_pred ∈ R^3</w:t>
              <w:br/>
              <w:t>5: // Compute Mean Squared Error Loss</w:t>
              <w:br/>
              <w:t>6: error = y_pred - y*             // Residual vector ∈ R^3</w:t>
              <w:br/>
              <w:t>7: L = 0.5 × Sum(error_k^2)</w:t>
              <w:br/>
              <w:t>8: // Analytical Backward Pass</w:t>
              <w:br/>
              <w:t>9: grad_W2 = error · h^T           // Outer product ∈ R^(3×8)</w:t>
              <w:br/>
              <w:t>10: grad_b2 = error</w:t>
              <w:br/>
              <w:t>11: delta_hidden = (W2^T · error) ⊙ (z1 &gt; 0) // Element-wise ReLU derivative ∈ R^8</w:t>
              <w:br/>
              <w:t>12: grad_W1 = delta_hidden · x^T   // Outer product ∈ R^(8×5)</w:t>
              <w:br/>
              <w:t>13: grad_b1 = delta_hidden</w:t>
              <w:br/>
              <w:t>14: // Apply Bounded Gradient Clipping Invariant (|ΔW| ≤ δ_max)</w:t>
              <w:br/>
              <w:t>15: dW2 = Clip(-η × grad_W2, -δ_max, δ_max)</w:t>
              <w:br/>
              <w:t>16: dW1 = Clip(-η × grad_W1, -δ_max, δ_max)</w:t>
              <w:br/>
              <w:t>17: // In-Place Parameter Updates</w:t>
              <w:br/>
              <w:t>18: W2_new = W2 + dW2; b2_new = b2 + Clip(-η × grad_b2, -δ_max, δ_max)</w:t>
              <w:br/>
              <w:t>19: W1_new = W1 + dW1; b1_new = b1 + Clip(-η × grad_b1, -δ_max, δ_max)</w:t>
              <w:br/>
              <w:t>20: return (W1_new, W2_new, b1_new, b2_new, L)</w:t>
            </w:r>
          </w:p>
        </w:tc>
      </w:tr>
    </w:tbl>
    <w:p>
      <w:pPr>
        <w:spacing w:before="0" w:after="120"/>
      </w:pPr>
    </w:p>
    <w:p>
      <w:pPr>
        <w:spacing w:before="200" w:after="80" w:line="360" w:lineRule="auto"/>
        <w:jc w:val="left"/>
      </w:pPr>
      <w:r>
        <w:rPr>
          <w:rFonts w:ascii="Times New Roman" w:hAnsi="Times New Roman"/>
          <w:b/>
          <w:i w:val="0"/>
          <w:color w:val="1E293B"/>
          <w:sz w:val="24"/>
        </w:rPr>
        <w:t>5.3.4 Algorithm 5.4: Dynamic Health Metric Prescription Synthesis</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180" w:type="dxa"/>
              <w:right w:w="180" w:type="dxa"/>
            </w:tcMar>
            <w:tcBorders>
              <w:top w:val="none"/>
              <w:bottom w:val="none"/>
              <w:left w:val="single" w:sz="24" w:space="0" w:color="3B82F6"/>
              <w:right w:val="none"/>
            </w:tcBorders>
          </w:tcPr>
          <w:p>
            <w:pPr>
              <w:spacing w:before="0" w:after="0" w:line="276" w:lineRule="auto"/>
            </w:pPr>
            <w:r>
              <w:rPr>
                <w:rFonts w:ascii="Courier New" w:hAnsi="Courier New"/>
                <w:color w:val="0F172A"/>
                <w:sz w:val="18"/>
              </w:rPr>
              <w:t>Algorithm 5.4 evaluates cardiovascular reserve, sleep debt carryover, and daily activity metrics to generate actionable daily targets.</w:t>
            </w:r>
          </w:p>
        </w:tc>
      </w:tr>
    </w:tbl>
    <w:p>
      <w:pPr>
        <w:spacing w:before="0" w:after="120"/>
      </w:pP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180" w:type="dxa"/>
              <w:right w:w="180" w:type="dxa"/>
            </w:tcMar>
            <w:tcBorders>
              <w:top w:val="none"/>
              <w:bottom w:val="none"/>
              <w:left w:val="single" w:sz="24" w:space="0" w:color="3B82F6"/>
              <w:right w:val="none"/>
            </w:tcBorders>
          </w:tcPr>
          <w:p>
            <w:pPr>
              <w:spacing w:before="0" w:after="0" w:line="276" w:lineRule="auto"/>
            </w:pPr>
            <w:r>
              <w:rPr>
                <w:rFonts w:ascii="Courier New" w:hAnsi="Courier New"/>
                <w:color w:val="0F172A"/>
                <w:sz w:val="18"/>
              </w:rPr>
              <w:t>Algorithm 5.4: Dynamic Health Metric Prescription Synthesis</w:t>
              <w:br/>
              <w:t>Input: Calibrated resting HR HR_rest, Maximum HR HR_max, Base sleep need S_base, Actual sleep S_actual, Accumulated sleep debt Debt_prev, Calibrated base steps Steps_base</w:t>
              <w:br/>
              <w:t>Output: Daily sleep prescription S_prescribe, Heart rate reserve HRR, Strain intensity zones Zones, Daily step target Steps_target</w:t>
              <w:br/>
              <w:t>----------------------------------------------------------------------------------------------------</w:t>
              <w:br/>
              <w:t>1: // Compute Karvonen Heart Rate Reserve</w:t>
              <w:br/>
              <w:t>2: HRR = HR_max - HR_rest</w:t>
              <w:br/>
              <w:t>3: Zones.Recovery  = [HR_rest + (0.50 × HRR), HR_rest + (0.60 × HRR)]</w:t>
              <w:br/>
              <w:t>4: Zones.FatBurn   = [HR_rest + (0.60 × HRR), HR_rest + (0.70 × HRR)]</w:t>
              <w:br/>
              <w:t>5: Zones.Aerobic   = [HR_rest + (0.70 × HRR), HR_rest + (0.80 × HRR)]</w:t>
              <w:br/>
              <w:t>6: Zones.Threshold = [HR_rest + (0.80 × HRR), HR_rest + (0.90 × HRR)]</w:t>
              <w:br/>
              <w:t>7: Zones.VO2Max    = [HR_rest + (0.90 × HRR), HR_max]</w:t>
              <w:br/>
              <w:t>8: // Compute Belenky Homeostatic Sleep Debt Carryover</w:t>
              <w:br/>
              <w:t>9: Deficit_acute = max(0, S_base - S_actual)</w:t>
              <w:br/>
              <w:t>10: Debt_current = Deficit_acute + (0.50 × Debt_prev) // Carryover coefficient λ = 0.50</w:t>
              <w:br/>
              <w:t>11: Sleep_Extension = min(1.50, 0.35 × Debt_current)  // Clinical ceiling: max 1.5 hours</w:t>
              <w:br/>
              <w:t>12: S_prescribe = S_base + Sleep_Extension</w:t>
              <w:br/>
              <w:t>13: // Modulate Step Target via Autonomic Recovery (HRV proxy)</w:t>
              <w:br/>
              <w:t>14: if Sleep_Extension &gt; 1.00 then</w:t>
              <w:br/>
              <w:t>15:    Steps_target = Round(0.85 × Steps_base) // Reduce step goal by 15% to support recovery</w:t>
              <w:br/>
              <w:t>16: else</w:t>
              <w:br/>
              <w:t>17:    Steps_target = Steps_base</w:t>
              <w:br/>
              <w:t>18: end if</w:t>
              <w:br/>
              <w:t>19: return (S_prescribe, HRR, Zones, Steps_target)</w:t>
            </w:r>
          </w:p>
        </w:tc>
      </w:tr>
    </w:tbl>
    <w:p>
      <w:pPr>
        <w:spacing w:before="0" w:after="120"/>
      </w:pPr>
    </w:p>
    <w:p>
      <w:pPr>
        <w:spacing w:before="280" w:after="120" w:line="360" w:lineRule="auto"/>
        <w:jc w:val="left"/>
      </w:pPr>
      <w:r>
        <w:rPr>
          <w:rFonts w:ascii="Times New Roman" w:hAnsi="Times New Roman"/>
          <w:b/>
          <w:i w:val="0"/>
          <w:color w:val="0F172A"/>
          <w:sz w:val="28"/>
        </w:rPr>
        <w:t>5.4 Core Implementation Source Code Listings</w:t>
      </w:r>
    </w:p>
    <w:p>
      <w:pPr>
        <w:spacing w:before="0" w:after="120" w:line="360" w:lineRule="auto"/>
        <w:jc w:val="both"/>
      </w:pPr>
      <w:r>
        <w:rPr>
          <w:rFonts w:ascii="Times New Roman" w:hAnsi="Times New Roman"/>
          <w:b w:val="0"/>
          <w:i w:val="0"/>
          <w:sz w:val="24"/>
        </w:rPr>
        <w:t>This section presents four production source code listings implementing the critical computational kernels of InstaHealth.</w:t>
      </w:r>
    </w:p>
    <w:p>
      <w:pPr>
        <w:spacing w:before="200" w:after="80" w:line="360" w:lineRule="auto"/>
        <w:jc w:val="left"/>
      </w:pPr>
      <w:r>
        <w:rPr>
          <w:rFonts w:ascii="Times New Roman" w:hAnsi="Times New Roman"/>
          <w:b/>
          <w:i w:val="0"/>
          <w:color w:val="1E293B"/>
          <w:sz w:val="24"/>
        </w:rPr>
        <w:t>Listing 5.1: High-Frequency Biosignal Ingestion &amp; Moving Average Filter</w:t>
      </w:r>
    </w:p>
    <w:p>
      <w:pPr>
        <w:spacing w:before="0" w:after="120" w:line="360" w:lineRule="auto"/>
        <w:jc w:val="both"/>
      </w:pPr>
      <w:r>
        <w:rPr>
          <w:rFonts w:ascii="Times New Roman" w:hAnsi="Times New Roman"/>
          <w:b w:val="0"/>
          <w:i w:val="0"/>
          <w:sz w:val="24"/>
        </w:rPr>
        <w:t>Listing 5.1 illustrates the continuous sensor ingestion pipeline, rolling circular buffer management, and exponential moving average filter.</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180" w:type="dxa"/>
              <w:right w:w="180" w:type="dxa"/>
            </w:tcMar>
            <w:tcBorders>
              <w:top w:val="none"/>
              <w:bottom w:val="none"/>
              <w:left w:val="single" w:sz="24" w:space="0" w:color="3B82F6"/>
              <w:right w:val="none"/>
            </w:tcBorders>
          </w:tcPr>
          <w:p>
            <w:pPr>
              <w:spacing w:before="0" w:after="0" w:line="276" w:lineRule="auto"/>
            </w:pPr>
            <w:r>
              <w:rPr>
                <w:rFonts w:ascii="Courier New" w:hAnsi="Courier New"/>
                <w:color w:val="0F172A"/>
                <w:sz w:val="18"/>
              </w:rPr>
              <w:t>// ============================================================================</w:t>
              <w:br/>
              <w:t>// Listing 5.1: Biosignal Ingestion &amp; Real-Time Moving Average Filter</w:t>
              <w:br/>
              <w:t>// Target: Embedded JavaScript / Microcontroller HAL</w:t>
              <w:br/>
              <w:t>// ============================================================================</w:t>
              <w:br/>
              <w:t>class BiosignalIngestionPipeline {</w:t>
              <w:br/>
              <w:t xml:space="preserve">    constructor(bufferSize = 256, alpha = 0.15) {</w:t>
              <w:br/>
              <w:t xml:space="preserve">        this.bufferSize = bufferSize;</w:t>
              <w:br/>
              <w:t xml:space="preserve">        this.alpha = alpha; // EMA smoothing factor</w:t>
              <w:br/>
              <w:t xml:space="preserve">        this.rawBuffer = new Float32Array(bufferSize);</w:t>
              <w:br/>
              <w:t xml:space="preserve">        this.filteredBuffer = new Float32Array(bufferSize);</w:t>
              <w:br/>
              <w:t xml:space="preserve">        this.head = 0;</w:t>
              <w:br/>
              <w:t xml:space="preserve">        this.currentEMA = 0.0;</w:t>
              <w:br/>
              <w:t xml:space="preserve">        this.initialized = false;</w:t>
              <w:br/>
              <w:t xml:space="preserve">    }</w:t>
              <w:br/>
              <w:br/>
              <w:t xml:space="preserve">    ingestSample(rawOpticalVoltage, kineticAccelMag) {</w:t>
              <w:br/>
              <w:t xml:space="preserve">        // Motion artifact threshold check (accelerometer magnitude in Gs)</w:t>
              <w:br/>
              <w:t xml:space="preserve">        const isMotionCorrupted = kineticAccelMag &gt; 1.80;</w:t>
              <w:br/>
              <w:t xml:space="preserve">        </w:t>
              <w:br/>
              <w:t xml:space="preserve">        // Store in raw circular buffer</w:t>
              <w:br/>
              <w:t xml:space="preserve">        this.rawBuffer[this.head] = rawOpticalVoltage;</w:t>
              <w:br/>
              <w:t xml:space="preserve">        </w:t>
              <w:br/>
              <w:t xml:space="preserve">        if (!this.initialized) {</w:t>
              <w:br/>
              <w:t xml:space="preserve">            this.currentEMA = rawOpticalVoltage;</w:t>
              <w:br/>
              <w:t xml:space="preserve">            this.initialized = true;</w:t>
              <w:br/>
              <w:t xml:space="preserve">        } else if (!isMotionCorrupted) {</w:t>
              <w:br/>
              <w:t xml:space="preserve">            // Update Exponential Moving Average only during clean windows</w:t>
              <w:br/>
              <w:t xml:space="preserve">            this.currentEMA = (this.alpha * rawOpticalVoltage) + ((1.0 - this.alpha) * this.currentEMA);</w:t>
              <w:br/>
              <w:t xml:space="preserve">        }</w:t>
              <w:br/>
              <w:t xml:space="preserve">        </w:t>
              <w:br/>
              <w:t xml:space="preserve">        this.filteredBuffer[this.head] = this.currentEMA;</w:t>
              <w:br/>
              <w:t xml:space="preserve">        this.head = (this.head + 1) % this.bufferSize;</w:t>
              <w:br/>
              <w:t xml:space="preserve">        </w:t>
              <w:br/>
              <w:t xml:space="preserve">        return {</w:t>
              <w:br/>
              <w:t xml:space="preserve">            filteredValue: this.currentEMA,</w:t>
              <w:br/>
              <w:t xml:space="preserve">            validTelemetry: !isMotionCorrupted</w:t>
              <w:br/>
              <w:t xml:space="preserve">        };</w:t>
              <w:br/>
              <w:t xml:space="preserve">    }</w:t>
              <w:br/>
              <w:t>}</w:t>
            </w:r>
          </w:p>
        </w:tc>
      </w:tr>
    </w:tbl>
    <w:p>
      <w:pPr>
        <w:spacing w:before="0" w:after="120"/>
      </w:pPr>
    </w:p>
    <w:p>
      <w:pPr>
        <w:spacing w:before="200" w:after="80" w:line="360" w:lineRule="auto"/>
        <w:jc w:val="left"/>
      </w:pPr>
      <w:r>
        <w:rPr>
          <w:rFonts w:ascii="Times New Roman" w:hAnsi="Times New Roman"/>
          <w:b/>
          <w:i w:val="0"/>
          <w:color w:val="1E293B"/>
          <w:sz w:val="24"/>
        </w:rPr>
        <w:t>Listing 5.2: Clinical Demographic Baseline Stratification &amp; HRmax Calculator</w:t>
      </w:r>
    </w:p>
    <w:p>
      <w:pPr>
        <w:spacing w:before="0" w:after="120" w:line="360" w:lineRule="auto"/>
        <w:jc w:val="both"/>
      </w:pPr>
      <w:r>
        <w:rPr>
          <w:rFonts w:ascii="Times New Roman" w:hAnsi="Times New Roman"/>
          <w:b w:val="0"/>
          <w:i w:val="0"/>
          <w:sz w:val="24"/>
        </w:rPr>
        <w:t>Listing 5.2 implements the on-device demographic prior selection, Tanaka (male) and Gulati (female) maximum heart rate calculation, and clinical cohort lookup.</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180" w:type="dxa"/>
              <w:right w:w="180" w:type="dxa"/>
            </w:tcMar>
            <w:tcBorders>
              <w:top w:val="none"/>
              <w:bottom w:val="none"/>
              <w:left w:val="single" w:sz="24" w:space="0" w:color="3B82F6"/>
              <w:right w:val="none"/>
            </w:tcBorders>
          </w:tcPr>
          <w:p>
            <w:pPr>
              <w:spacing w:before="0" w:after="0" w:line="276" w:lineRule="auto"/>
            </w:pPr>
            <w:r>
              <w:rPr>
                <w:rFonts w:ascii="Courier New" w:hAnsi="Courier New"/>
                <w:color w:val="0F172A"/>
                <w:sz w:val="18"/>
              </w:rPr>
              <w:t>// ============================================================================</w:t>
              <w:br/>
              <w:t>// Listing 5.2: Demographic Prior Stratification &amp; Sex-Specific HRmax</w:t>
              <w:br/>
              <w:t>// ============================================================================</w:t>
              <w:br/>
              <w:t>const CLINICAL_POPULATION_NORMS = {</w:t>
              <w:br/>
              <w:t xml:space="preserve">    '18-29': { male: { cal: 2400, steps: 8000, sleep: 7.8, rhr: 60 }, female: { cal: 1900, steps: 8000, sleep: 8.0, rhr: 64 } },</w:t>
              <w:br/>
              <w:t xml:space="preserve">    '30-39': { male: { cal: 2200, steps: 7500, sleep: 7.5, rhr: 62 }, female: { cal: 1800, steps: 7500, sleep: 7.7, rhr: 66 } },</w:t>
              <w:br/>
              <w:t xml:space="preserve">    '40-49': { male: { cal: 2100, steps: 7000, sleep: 7.3, rhr: 65 }, female: { cal: 1700, steps: 7000, sleep: 7.5, rhr: 68 } },</w:t>
              <w:br/>
              <w:t xml:space="preserve">    '50-59': { male: { cal: 2000, steps: 6500, sleep: 7.0, rhr: 67 }, female: { cal: 1600, steps: 6500, sleep: 7.2, rhr: 70 } },</w:t>
              <w:br/>
              <w:t xml:space="preserve">    '60+':   { male: { cal: 1850, steps: 6000, sleep: 6.8, rhr: 69 }, female: { cal: 1500, steps: 6000, sleep: 7.0, rhr: 72 } }</w:t>
              <w:br/>
              <w:t>};</w:t>
              <w:br/>
              <w:br/>
              <w:t>function computeDemographicPriors(age, sex) {</w:t>
              <w:br/>
              <w:t xml:space="preserve">    let ageCohort = '18-29';</w:t>
              <w:br/>
              <w:t xml:space="preserve">    if (age &gt;= 60) ageCohort = '60+';</w:t>
              <w:br/>
              <w:t xml:space="preserve">    else if (age &gt;= 50) ageCohort = '50-59';</w:t>
              <w:br/>
              <w:t xml:space="preserve">    else if (age &gt;= 40) ageCohort = '40-49';</w:t>
              <w:br/>
              <w:t xml:space="preserve">    else if (age &gt;= 30) ageCohort = '30-39';</w:t>
              <w:br/>
              <w:t xml:space="preserve">    </w:t>
              <w:br/>
              <w:t xml:space="preserve">    const norm = CLINICAL_POPULATION_NORMS[ageCohort][sex.toLowerCase()];</w:t>
              <w:br/>
              <w:t xml:space="preserve">    </w:t>
              <w:br/>
              <w:t xml:space="preserve">    // Clinically validated regression models:</w:t>
              <w:br/>
              <w:t xml:space="preserve">    // Tanaka et al. (2001) for Males | Gulati et al. (2010) for Females</w:t>
              <w:br/>
              <w:t xml:space="preserve">    const maxHR = sex.toLowerCase() === 'male' </w:t>
              <w:br/>
              <w:t xml:space="preserve">        ? Math.round(208 - (0.7 * age)) </w:t>
              <w:br/>
              <w:t xml:space="preserve">        : Math.round(206 - (0.88 * age));</w:t>
              <w:br/>
              <w:t xml:space="preserve">        </w:t>
              <w:br/>
              <w:t xml:space="preserve">    return {</w:t>
              <w:br/>
              <w:t xml:space="preserve">        cohort: ageCohort,</w:t>
              <w:br/>
              <w:t xml:space="preserve">        baseCalories: norm.cal,</w:t>
              <w:br/>
              <w:t xml:space="preserve">        baseSteps: norm.steps,</w:t>
              <w:br/>
              <w:t xml:space="preserve">        baseSleepHours: norm.sleep,</w:t>
              <w:br/>
              <w:t xml:space="preserve">        restingHR: norm.rhr,</w:t>
              <w:br/>
              <w:t xml:space="preserve">        maxHeartRate: maxHR</w:t>
              <w:br/>
              <w:t xml:space="preserve">    };</w:t>
              <w:br/>
              <w:t>}</w:t>
            </w:r>
          </w:p>
        </w:tc>
      </w:tr>
    </w:tbl>
    <w:p>
      <w:pPr>
        <w:spacing w:before="0" w:after="120"/>
      </w:pPr>
    </w:p>
    <w:p>
      <w:pPr>
        <w:spacing w:before="200" w:after="80" w:line="360" w:lineRule="auto"/>
        <w:jc w:val="left"/>
      </w:pPr>
      <w:r>
        <w:rPr>
          <w:rFonts w:ascii="Times New Roman" w:hAnsi="Times New Roman"/>
          <w:b/>
          <w:i w:val="0"/>
          <w:color w:val="1E293B"/>
          <w:sz w:val="24"/>
        </w:rPr>
        <w:t>Listing 5.3: TinyML 2-Layer Perceptron Forward Pass and Micro-SGD Optimizer</w:t>
      </w:r>
    </w:p>
    <w:p>
      <w:pPr>
        <w:spacing w:before="0" w:after="120" w:line="360" w:lineRule="auto"/>
        <w:jc w:val="both"/>
      </w:pPr>
      <w:r>
        <w:rPr>
          <w:rFonts w:ascii="Times New Roman" w:hAnsi="Times New Roman"/>
          <w:b w:val="0"/>
          <w:i w:val="0"/>
          <w:sz w:val="24"/>
        </w:rPr>
        <w:t>Listing 5.3 presents the complete implementation of the on-device 2-layer Multi-Layer Perceptron, including forward inference, MSE loss computation, analytical backpropagation, and bounded gradient clipping.</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180" w:type="dxa"/>
              <w:right w:w="180" w:type="dxa"/>
            </w:tcMar>
            <w:tcBorders>
              <w:top w:val="none"/>
              <w:bottom w:val="none"/>
              <w:left w:val="single" w:sz="24" w:space="0" w:color="3B82F6"/>
              <w:right w:val="none"/>
            </w:tcBorders>
          </w:tcPr>
          <w:p>
            <w:pPr>
              <w:spacing w:before="0" w:after="0" w:line="276" w:lineRule="auto"/>
            </w:pPr>
            <w:r>
              <w:rPr>
                <w:rFonts w:ascii="Courier New" w:hAnsi="Courier New"/>
                <w:color w:val="0F172A"/>
                <w:sz w:val="18"/>
              </w:rPr>
              <w:t>// ============================================================================</w:t>
              <w:br/>
              <w:t>// Listing 5.3: On-Device TinyML Multi-Layer Perceptron &amp; Micro-SGD Optimizer</w:t>
              <w:br/>
              <w:t>// ============================================================================</w:t>
              <w:br/>
              <w:t>class TinyMLPhysiologicalEngine {</w:t>
              <w:br/>
              <w:t xml:space="preserve">    constructor(inputDim = 5, hiddenDim = 8, outputDim = 3, lr = 0.01, clipLimit = 0.05) {</w:t>
              <w:br/>
              <w:t xml:space="preserve">        this.inputDim = inputDim;   // [HR_norm, HRV_norm, Steps_norm, SleepDebt_norm, DayIndex]</w:t>
              <w:br/>
              <w:t xml:space="preserve">        this.hiddenDim = hiddenDim; // 8 hidden ReLU neurons</w:t>
              <w:br/>
              <w:t xml:space="preserve">        this.outputDim = outputDim; // [SleepTarget, StepsTarget, MaxStrain]</w:t>
              <w:br/>
              <w:t xml:space="preserve">        this.lr = lr;</w:t>
              <w:br/>
              <w:t xml:space="preserve">        this.clipLimit = clipLimit; // Hard bounded update invariant: |dW| &lt;= 0.05</w:t>
              <w:br/>
              <w:t xml:space="preserve">        </w:t>
              <w:br/>
              <w:t xml:space="preserve">        // Xavier parameter initialization</w:t>
              <w:br/>
              <w:t xml:space="preserve">        this.W1 = Array.from({ length: hiddenDim }, () =&gt; </w:t>
              <w:br/>
              <w:t xml:space="preserve">            Array.from({ length: inputDim }, () =&gt; (Math.random() - 0.5) * 0.2));</w:t>
              <w:br/>
              <w:t xml:space="preserve">        this.b1 = new Array(hiddenDim).fill(0.0);</w:t>
              <w:br/>
              <w:t xml:space="preserve">        this.W2 = Array.from({ length: outputDim }, () =&gt; </w:t>
              <w:br/>
              <w:t xml:space="preserve">            Array.from({ length: hiddenDim }, () =&gt; (Math.random() - 0.5) * 0.2));</w:t>
              <w:br/>
              <w:t xml:space="preserve">        this.b2 = new Array(outputDim).fill(0.0);</w:t>
              <w:br/>
              <w:t xml:space="preserve">    }</w:t>
              <w:br/>
              <w:br/>
              <w:t xml:space="preserve">    forward(x) {</w:t>
              <w:br/>
              <w:t xml:space="preserve">        // Hidden Layer with ReLU Activation</w:t>
              <w:br/>
              <w:t xml:space="preserve">        this.lastX = x;</w:t>
              <w:br/>
              <w:t xml:space="preserve">        this.z1 = new Array(this.hiddenDim).fill(0.0);</w:t>
              <w:br/>
              <w:t xml:space="preserve">        this.h = new Array(this.hiddenDim).fill(0.0);</w:t>
              <w:br/>
              <w:t xml:space="preserve">        </w:t>
              <w:br/>
              <w:t xml:space="preserve">        for (let j = 0; j &lt; this.hiddenDim; j++) {</w:t>
              <w:br/>
              <w:t xml:space="preserve">            let sum = this.b1[j];</w:t>
              <w:br/>
              <w:t xml:space="preserve">            for (let i = 0; i &lt; this.inputDim; i++) sum += this.W1[j][i] * x[i];</w:t>
              <w:br/>
              <w:t xml:space="preserve">            this.z1[j] = sum;</w:t>
              <w:br/>
              <w:t xml:space="preserve">            this.h[j] = Math.max(0.0, sum); // ReLU</w:t>
              <w:br/>
              <w:t xml:space="preserve">        }</w:t>
              <w:br/>
              <w:t xml:space="preserve">        </w:t>
              <w:br/>
              <w:t xml:space="preserve">        // Linear Output Layer</w:t>
              <w:br/>
              <w:t xml:space="preserve">        this.y_pred = new Array(this.outputDim).fill(0.0);</w:t>
              <w:br/>
              <w:t xml:space="preserve">        for (let k = 0; k &lt; this.outputDim; k++) {</w:t>
              <w:br/>
              <w:t xml:space="preserve">            let sum = this.b2[k];</w:t>
              <w:br/>
              <w:t xml:space="preserve">            for (let j = 0; j &lt; this.hiddenDim; j++) sum += this.W2[k][j] * this.h[j];</w:t>
              <w:br/>
              <w:t xml:space="preserve">            this.y_pred[k] = sum;</w:t>
              <w:br/>
              <w:t xml:space="preserve">        }</w:t>
              <w:br/>
              <w:t xml:space="preserve">        return this.y_pred;</w:t>
              <w:br/>
              <w:t xml:space="preserve">    }</w:t>
              <w:br/>
              <w:br/>
              <w:t xml:space="preserve">    backward(targetY) {</w:t>
              <w:br/>
              <w:t xml:space="preserve">        // Output residual error</w:t>
              <w:br/>
              <w:t xml:space="preserve">        const error = this.y_pred.map((y, k) =&gt; y - targetY[k]);</w:t>
              <w:br/>
              <w:t xml:space="preserve">        </w:t>
              <w:br/>
              <w:t xml:space="preserve">        // Gradient for W2 and b2</w:t>
              <w:br/>
              <w:t xml:space="preserve">        for (let k = 0; k &lt; this.outputDim; k++) {</w:t>
              <w:br/>
              <w:t xml:space="preserve">            for (let j = 0; j &lt; this.hiddenDim; j++) {</w:t>
              <w:br/>
              <w:t xml:space="preserve">                let grad = error[k] * this.h[j];</w:t>
              <w:br/>
              <w:t xml:space="preserve">                let dW = Math.max(-this.clipLimit, Math.min(this.clipLimit, -this.lr * grad));</w:t>
              <w:br/>
              <w:t xml:space="preserve">                this.W2[k][j] += dW; // Bounded update</w:t>
              <w:br/>
              <w:t xml:space="preserve">            }</w:t>
              <w:br/>
              <w:t xml:space="preserve">            let db = Math.max(-this.clipLimit, Math.min(this.clipLimit, -this.lr * error[k]));</w:t>
              <w:br/>
              <w:t xml:space="preserve">            this.b2[k] += db;</w:t>
              <w:br/>
              <w:t xml:space="preserve">        }</w:t>
              <w:br/>
              <w:t xml:space="preserve">        </w:t>
              <w:br/>
              <w:t xml:space="preserve">        // Backpropagate to Hidden Layer</w:t>
              <w:br/>
              <w:t xml:space="preserve">        for (let j = 0; j &lt; this.hiddenDim; j++) {</w:t>
              <w:br/>
              <w:t xml:space="preserve">            if (this.z1[j] &lt;= 0) continue; // ReLU derivative is zero</w:t>
              <w:br/>
              <w:t xml:space="preserve">            let hiddenGrad = 0.0;</w:t>
              <w:br/>
              <w:t xml:space="preserve">            for (let k = 0; k &lt; this.outputDim; k++) hiddenGrad += error[k] * this.W2[k][j];</w:t>
              <w:br/>
              <w:t xml:space="preserve">            </w:t>
              <w:br/>
              <w:t xml:space="preserve">            for (let i = 0; i &lt; this.inputDim; i++) {</w:t>
              <w:br/>
              <w:t xml:space="preserve">                let grad = hiddenGrad * this.lastX[i];</w:t>
              <w:br/>
              <w:t xml:space="preserve">                let dW = Math.max(-this.clipLimit, Math.min(this.clipLimit, -this.lr * grad));</w:t>
              <w:br/>
              <w:t xml:space="preserve">                this.W1[j][i] += dW; // Bounded update</w:t>
              <w:br/>
              <w:t xml:space="preserve">            }</w:t>
              <w:br/>
              <w:t xml:space="preserve">            let db = Math.max(-this.clipLimit, Math.min(this.clipLimit, -this.lr * hiddenGrad));</w:t>
              <w:br/>
              <w:t xml:space="preserve">            this.b1[j] += db;</w:t>
              <w:br/>
              <w:t xml:space="preserve">        }</w:t>
              <w:br/>
              <w:t xml:space="preserve">    }</w:t>
              <w:br/>
              <w:t>}</w:t>
            </w:r>
          </w:p>
        </w:tc>
      </w:tr>
    </w:tbl>
    <w:p>
      <w:pPr>
        <w:spacing w:before="0" w:after="120"/>
      </w:pPr>
    </w:p>
    <w:p>
      <w:pPr>
        <w:spacing w:before="200" w:after="80" w:line="360" w:lineRule="auto"/>
        <w:jc w:val="left"/>
      </w:pPr>
      <w:r>
        <w:rPr>
          <w:rFonts w:ascii="Times New Roman" w:hAnsi="Times New Roman"/>
          <w:b/>
          <w:i w:val="0"/>
          <w:color w:val="1E293B"/>
          <w:sz w:val="24"/>
        </w:rPr>
        <w:t>Listing 5.4: High-Performance Canvas Circular Arc Visualizer</w:t>
      </w:r>
    </w:p>
    <w:p>
      <w:pPr>
        <w:spacing w:before="0" w:after="120" w:line="360" w:lineRule="auto"/>
        <w:jc w:val="both"/>
      </w:pPr>
      <w:r>
        <w:rPr>
          <w:rFonts w:ascii="Times New Roman" w:hAnsi="Times New Roman"/>
          <w:b w:val="0"/>
          <w:i w:val="0"/>
          <w:sz w:val="24"/>
        </w:rPr>
        <w:t>Listing 5.4 details the high-DPI HTML5 Canvas rendering routine responsible for drawing smooth, anti-aliased circular progress arcs.</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180" w:type="dxa"/>
              <w:right w:w="180" w:type="dxa"/>
            </w:tcMar>
            <w:tcBorders>
              <w:top w:val="none"/>
              <w:bottom w:val="none"/>
              <w:left w:val="single" w:sz="24" w:space="0" w:color="3B82F6"/>
              <w:right w:val="none"/>
            </w:tcBorders>
          </w:tcPr>
          <w:p>
            <w:pPr>
              <w:spacing w:before="0" w:after="0" w:line="276" w:lineRule="auto"/>
            </w:pPr>
            <w:r>
              <w:rPr>
                <w:rFonts w:ascii="Courier New" w:hAnsi="Courier New"/>
                <w:color w:val="0F172A"/>
                <w:sz w:val="18"/>
              </w:rPr>
              <w:t>// ============================================================================</w:t>
              <w:br/>
              <w:t>// Listing 5.4: High-DPI Circular Gauge Arc Visualizer</w:t>
              <w:br/>
              <w:t>// ============================================================================</w:t>
              <w:br/>
              <w:t>function renderCircularProgressArc(ctx, centerX, centerY, radius, percent, strokeColor, lineWidth = 12) {</w:t>
              <w:br/>
              <w:t xml:space="preserve">    const startAngle = -Math.PI / 2; // 12 o'clock anchor position</w:t>
              <w:br/>
              <w:t xml:space="preserve">    const clampedPercent = Math.max(0.0, Math.min(1.0, percent));</w:t>
              <w:br/>
              <w:t xml:space="preserve">    const endAngle = startAngle + (clampedPercent * 2 * Math.PI);</w:t>
              <w:br/>
              <w:t xml:space="preserve">    </w:t>
              <w:br/>
              <w:t xml:space="preserve">    // Draw Background Track</w:t>
              <w:br/>
              <w:t xml:space="preserve">    ctx.save();</w:t>
              <w:br/>
              <w:t xml:space="preserve">    ctx.beginPath();</w:t>
              <w:br/>
              <w:t xml:space="preserve">    ctx.arc(centerX, centerY, radius, 0, 2 * Math.PI, false);</w:t>
              <w:br/>
              <w:t xml:space="preserve">    ctx.lineWidth = lineWidth;</w:t>
              <w:br/>
              <w:t xml:space="preserve">    ctx.strokeStyle = 'rgba(255, 255, 255, 0.12)';</w:t>
              <w:br/>
              <w:t xml:space="preserve">    ctx.stroke();</w:t>
              <w:br/>
              <w:t xml:space="preserve">    </w:t>
              <w:br/>
              <w:t xml:space="preserve">    // Draw Dynamic Progress Arc</w:t>
              <w:br/>
              <w:t xml:space="preserve">    ctx.beginPath();</w:t>
              <w:br/>
              <w:t xml:space="preserve">    ctx.arc(centerX, centerY, radius, startAngle, endAngle, false);</w:t>
              <w:br/>
              <w:t xml:space="preserve">    ctx.lineWidth = lineWidth;</w:t>
              <w:br/>
              <w:t xml:space="preserve">    ctx.strokeStyle = strokeColor;</w:t>
              <w:br/>
              <w:t xml:space="preserve">    ctx.lineCap = 'round'; // Smooth circular arc caps</w:t>
              <w:br/>
              <w:t xml:space="preserve">    ctx.shadowColor = strokeColor;</w:t>
              <w:br/>
              <w:t xml:space="preserve">    ctx.shadowBlur = 8;     // Subtle glow effect for glanceability</w:t>
              <w:br/>
              <w:t xml:space="preserve">    ctx.stroke();</w:t>
              <w:br/>
              <w:t xml:space="preserve">    ctx.restore();</w:t>
              <w:br/>
              <w:t>}</w:t>
            </w:r>
          </w:p>
        </w:tc>
      </w:tr>
    </w:tbl>
    <w:p>
      <w:pPr>
        <w:spacing w:before="0" w:after="120"/>
      </w:pPr>
    </w:p>
    <w:p>
      <w:r>
        <w:br w:type="page"/>
      </w:r>
    </w:p>
    <w:p>
      <w:pPr>
        <w:spacing w:before="320" w:after="280" w:line="360" w:lineRule="auto"/>
        <w:jc w:val="center"/>
      </w:pPr>
      <w:r>
        <w:rPr>
          <w:rFonts w:ascii="Times New Roman" w:hAnsi="Times New Roman"/>
          <w:b/>
          <w:i w:val="0"/>
          <w:color w:val="1E3A8A"/>
          <w:sz w:val="32"/>
        </w:rPr>
        <w:t>CHAPTER 6: RESULTS AND DISCUSSION</w:t>
      </w:r>
    </w:p>
    <w:p>
      <w:pPr>
        <w:spacing w:before="280" w:after="120" w:line="360" w:lineRule="auto"/>
        <w:jc w:val="left"/>
      </w:pPr>
      <w:r>
        <w:rPr>
          <w:rFonts w:ascii="Times New Roman" w:hAnsi="Times New Roman"/>
          <w:b/>
          <w:i w:val="0"/>
          <w:color w:val="0F172A"/>
          <w:sz w:val="28"/>
        </w:rPr>
        <w:t>6.1 User Interface and Operational Output Screens</w:t>
      </w:r>
    </w:p>
    <w:p>
      <w:pPr>
        <w:spacing w:before="0" w:after="120" w:line="360" w:lineRule="auto"/>
        <w:jc w:val="both"/>
      </w:pPr>
      <w:r>
        <w:rPr>
          <w:rFonts w:ascii="Times New Roman" w:hAnsi="Times New Roman"/>
          <w:b w:val="0"/>
          <w:i w:val="0"/>
          <w:sz w:val="24"/>
        </w:rPr>
        <w:t>The user experience and visual presentation of InstaHealth were evaluated on physical smartwatch displays and emulated touchscreens. The interface was engineered to deliver maximum glanceability, allowing the user to comprehend their physiological status in under three seconds.</w:t>
      </w:r>
    </w:p>
    <w:p>
      <w:pPr>
        <w:spacing w:before="200" w:after="80" w:line="360" w:lineRule="auto"/>
        <w:jc w:val="left"/>
      </w:pPr>
      <w:r>
        <w:rPr>
          <w:rFonts w:ascii="Times New Roman" w:hAnsi="Times New Roman"/>
          <w:b/>
          <w:i w:val="0"/>
          <w:color w:val="1E293B"/>
          <w:sz w:val="24"/>
        </w:rPr>
        <w:t>6.1.1 Calibration Phase Display (Day 1 &amp; Day 2)</w:t>
      </w:r>
    </w:p>
    <w:p>
      <w:pPr>
        <w:spacing w:before="0" w:after="120" w:line="360" w:lineRule="auto"/>
        <w:jc w:val="both"/>
      </w:pPr>
      <w:r>
        <w:rPr>
          <w:rFonts w:ascii="Times New Roman" w:hAnsi="Times New Roman"/>
          <w:b w:val="0"/>
          <w:i w:val="0"/>
          <w:sz w:val="24"/>
        </w:rPr>
        <w:t>During the initial 48-hour calibration window, the interface operates in observation mode, presenting side-by-side comparative arcs that ground the user's live telemetry against their clinical demographic cohort. Figure 6.1 displays the high-resolution output screen during Day 1 of calibration.</w:t>
      </w:r>
    </w:p>
    <w:p>
      <w:pPr>
        <w:spacing w:before="240" w:after="80"/>
        <w:jc w:val="center"/>
      </w:pPr>
      <w:r>
        <w:drawing>
          <wp:inline xmlns:a="http://schemas.openxmlformats.org/drawingml/2006/main" xmlns:pic="http://schemas.openxmlformats.org/drawingml/2006/picture">
            <wp:extent cx="3291840" cy="4592228"/>
            <wp:docPr id="7" name="Picture 7"/>
            <wp:cNvGraphicFramePr>
              <a:graphicFrameLocks noChangeAspect="1"/>
            </wp:cNvGraphicFramePr>
            <a:graphic>
              <a:graphicData uri="http://schemas.openxmlformats.org/drawingml/2006/picture">
                <pic:pic>
                  <pic:nvPicPr>
                    <pic:cNvPr id="0" name="screenshot_day1_calibration.png"/>
                    <pic:cNvPicPr/>
                  </pic:nvPicPr>
                  <pic:blipFill>
                    <a:blip r:embed="rId16"/>
                    <a:stretch>
                      <a:fillRect/>
                    </a:stretch>
                  </pic:blipFill>
                  <pic:spPr>
                    <a:xfrm>
                      <a:off x="0" y="0"/>
                      <a:ext cx="3291840" cy="4592228"/>
                    </a:xfrm>
                    <a:prstGeom prst="rect"/>
                  </pic:spPr>
                </pic:pic>
              </a:graphicData>
            </a:graphic>
          </wp:inline>
        </w:drawing>
      </w:r>
    </w:p>
    <w:p>
      <w:pPr>
        <w:spacing w:before="40" w:after="280"/>
        <w:jc w:val="center"/>
      </w:pPr>
      <w:r>
        <w:rPr>
          <w:rFonts w:ascii="Times New Roman" w:hAnsi="Times New Roman"/>
          <w:b/>
          <w:color w:val="334155"/>
          <w:sz w:val="21"/>
        </w:rPr>
        <w:t>Figure 6.1: InstaHealth Day 1 &amp; Day 2 Calibration UI: Real-Time Telemetry vs Demographic Benchmarks</w:t>
      </w:r>
    </w:p>
    <w:p>
      <w:pPr>
        <w:spacing w:before="0" w:after="120" w:line="360" w:lineRule="auto"/>
        <w:jc w:val="both"/>
      </w:pPr>
      <w:r>
        <w:rPr>
          <w:rFonts w:ascii="Times New Roman" w:hAnsi="Times New Roman"/>
          <w:b w:val="0"/>
          <w:i w:val="0"/>
          <w:sz w:val="24"/>
        </w:rPr>
        <w:t>As illustrated in Figure 6.1, the display presents a top status badge indicating 'Calibration Active - Day 1 of 2'. The central card provides an instantaneous, transparent comparison across primary physiological metrics:</w:t>
      </w:r>
    </w:p>
    <w:p>
      <w:pPr>
        <w:spacing w:before="0" w:after="120" w:line="360" w:lineRule="auto"/>
        <w:jc w:val="both"/>
      </w:pPr>
      <w:r>
        <w:rPr>
          <w:rFonts w:ascii="Times New Roman" w:hAnsi="Times New Roman"/>
          <w:b w:val="0"/>
          <w:i w:val="0"/>
          <w:sz w:val="24"/>
        </w:rPr>
        <w:t>• Resting Heart Rate: The user's live resting pulse of 58 bpm is displayed alongside the demographic human average of 60 bpm, reassuring the user of normative cardiovascular tone.</w:t>
      </w:r>
    </w:p>
    <w:p>
      <w:pPr>
        <w:spacing w:before="0" w:after="120" w:line="360" w:lineRule="auto"/>
        <w:jc w:val="both"/>
      </w:pPr>
      <w:r>
        <w:rPr>
          <w:rFonts w:ascii="Times New Roman" w:hAnsi="Times New Roman"/>
          <w:b w:val="0"/>
          <w:i w:val="0"/>
          <w:sz w:val="24"/>
        </w:rPr>
        <w:t>• Daily Step Accumulation: The current total of 3,420 steps is benchmarked against the clinical prior of 8,000 steps.</w:t>
      </w:r>
    </w:p>
    <w:p>
      <w:pPr>
        <w:spacing w:before="0" w:after="120" w:line="360" w:lineRule="auto"/>
        <w:jc w:val="both"/>
      </w:pPr>
      <w:r>
        <w:rPr>
          <w:rFonts w:ascii="Times New Roman" w:hAnsi="Times New Roman"/>
          <w:b w:val="0"/>
          <w:i w:val="0"/>
          <w:sz w:val="24"/>
        </w:rPr>
        <w:t>• Active Energy Expenditure: 180 kcal burned is contrasted against the daily baseline of 2,400 kcal.</w:t>
      </w:r>
    </w:p>
    <w:p>
      <w:pPr>
        <w:spacing w:before="0" w:after="120" w:line="360" w:lineRule="auto"/>
        <w:jc w:val="both"/>
      </w:pPr>
      <w:r>
        <w:rPr>
          <w:rFonts w:ascii="Times New Roman" w:hAnsi="Times New Roman"/>
          <w:b w:val="0"/>
          <w:i w:val="0"/>
          <w:sz w:val="24"/>
        </w:rPr>
        <w:t>• Sleep Need Baseline: 7.2 hours recorded vs 7.8 hours cohort average.</w:t>
      </w:r>
    </w:p>
    <w:p>
      <w:pPr>
        <w:spacing w:before="0" w:after="120" w:line="360" w:lineRule="auto"/>
        <w:jc w:val="both"/>
      </w:pPr>
      <w:r>
        <w:rPr>
          <w:rFonts w:ascii="Times New Roman" w:hAnsi="Times New Roman"/>
          <w:b w:val="0"/>
          <w:i w:val="0"/>
          <w:sz w:val="24"/>
        </w:rPr>
        <w:t>• Cardio Strain: 0% HRR (indicating sedentary resting state).</w:t>
      </w:r>
    </w:p>
    <w:p>
      <w:pPr>
        <w:spacing w:before="0" w:after="120" w:line="360" w:lineRule="auto"/>
        <w:jc w:val="both"/>
      </w:pPr>
      <w:r>
        <w:rPr>
          <w:rFonts w:ascii="Times New Roman" w:hAnsi="Times New Roman"/>
          <w:b w:val="0"/>
          <w:i w:val="0"/>
          <w:sz w:val="24"/>
        </w:rPr>
        <w:t>• Inactivity Counter: 42 minutes continuous sitting.</w:t>
      </w:r>
    </w:p>
    <w:p>
      <w:pPr>
        <w:spacing w:before="0" w:after="120" w:line="360" w:lineRule="auto"/>
        <w:jc w:val="both"/>
      </w:pPr>
      <w:r>
        <w:rPr>
          <w:rFonts w:ascii="Times New Roman" w:hAnsi="Times New Roman"/>
          <w:b w:val="0"/>
          <w:i w:val="0"/>
          <w:sz w:val="24"/>
        </w:rPr>
        <w:t>Crucially, the interface does not sound abrasive alarms, flash red warnings, or enforce coercive behavioral targets during this phase. This non-punitive presentation eliminates orthosomnia and wearable-induced anxiety, allowing the baseline to converge naturally.</w:t>
      </w:r>
    </w:p>
    <w:p>
      <w:pPr>
        <w:spacing w:before="200" w:after="80" w:line="360" w:lineRule="auto"/>
        <w:jc w:val="left"/>
      </w:pPr>
      <w:r>
        <w:rPr>
          <w:rFonts w:ascii="Times New Roman" w:hAnsi="Times New Roman"/>
          <w:b/>
          <w:i w:val="0"/>
          <w:color w:val="1E293B"/>
          <w:sz w:val="24"/>
        </w:rPr>
        <w:t>6.1.2 Fully Calibrated Prescription Display (Day 3+)</w:t>
      </w:r>
    </w:p>
    <w:p>
      <w:pPr>
        <w:spacing w:before="0" w:after="120" w:line="360" w:lineRule="auto"/>
        <w:jc w:val="both"/>
      </w:pPr>
      <w:r>
        <w:rPr>
          <w:rFonts w:ascii="Times New Roman" w:hAnsi="Times New Roman"/>
          <w:b w:val="0"/>
          <w:i w:val="0"/>
          <w:sz w:val="24"/>
        </w:rPr>
        <w:t>Upon crossing the 48-hour continuous wear threshold, the system autonomously transitions to the calibrated state. Figure 6.2 showcases the user interface during Day 3+ operation.</w:t>
      </w:r>
    </w:p>
    <w:p>
      <w:pPr>
        <w:spacing w:before="240" w:after="80"/>
        <w:jc w:val="center"/>
      </w:pPr>
      <w:r>
        <w:drawing>
          <wp:inline xmlns:a="http://schemas.openxmlformats.org/drawingml/2006/main" xmlns:pic="http://schemas.openxmlformats.org/drawingml/2006/picture">
            <wp:extent cx="3291840" cy="4592228"/>
            <wp:docPr id="8" name="Picture 8"/>
            <wp:cNvGraphicFramePr>
              <a:graphicFrameLocks noChangeAspect="1"/>
            </wp:cNvGraphicFramePr>
            <a:graphic>
              <a:graphicData uri="http://schemas.openxmlformats.org/drawingml/2006/picture">
                <pic:pic>
                  <pic:nvPicPr>
                    <pic:cNvPr id="0" name="screenshot_day3_prescriptions.png"/>
                    <pic:cNvPicPr/>
                  </pic:nvPicPr>
                  <pic:blipFill>
                    <a:blip r:embed="rId17"/>
                    <a:stretch>
                      <a:fillRect/>
                    </a:stretch>
                  </pic:blipFill>
                  <pic:spPr>
                    <a:xfrm>
                      <a:off x="0" y="0"/>
                      <a:ext cx="3291840" cy="4592228"/>
                    </a:xfrm>
                    <a:prstGeom prst="rect"/>
                  </pic:spPr>
                </pic:pic>
              </a:graphicData>
            </a:graphic>
          </wp:inline>
        </w:drawing>
      </w:r>
    </w:p>
    <w:p>
      <w:pPr>
        <w:spacing w:before="40" w:after="280"/>
        <w:jc w:val="center"/>
      </w:pPr>
      <w:r>
        <w:rPr>
          <w:rFonts w:ascii="Times New Roman" w:hAnsi="Times New Roman"/>
          <w:b/>
          <w:color w:val="334155"/>
          <w:sz w:val="21"/>
        </w:rPr>
        <w:t>Figure 6.2: InstaHealth Day 3+ Calibrated Prescription UI: Multi-Metric Circular Ring Carousel</w:t>
      </w:r>
    </w:p>
    <w:p>
      <w:pPr>
        <w:spacing w:before="0" w:after="120" w:line="360" w:lineRule="auto"/>
        <w:jc w:val="both"/>
      </w:pPr>
      <w:r>
        <w:rPr>
          <w:rFonts w:ascii="Times New Roman" w:hAnsi="Times New Roman"/>
          <w:b w:val="0"/>
          <w:i w:val="0"/>
          <w:sz w:val="24"/>
        </w:rPr>
        <w:t>As demonstrated in Figure 6.2, the header reflects 'Personal Model Calibrated - Day 3'. The screen replaces the static split view with an interactive, horizontal swipe carousel of circular prescription rings:</w:t>
      </w:r>
    </w:p>
    <w:p>
      <w:pPr>
        <w:spacing w:before="0" w:after="120" w:line="360" w:lineRule="auto"/>
        <w:jc w:val="both"/>
      </w:pPr>
      <w:r>
        <w:rPr>
          <w:rFonts w:ascii="Times New Roman" w:hAnsi="Times New Roman"/>
          <w:b w:val="0"/>
          <w:i w:val="0"/>
          <w:sz w:val="24"/>
        </w:rPr>
        <w:t>1. Restorative Sleep Ring (Emerald Green): The daily sleep target is dynamically expanded to 8.2 hours (up from the 7.2-hour baseline), reflecting the automated Belenky sleep debt carryover calculation to compensate for acute sleep debt incurred on Day 2.</w:t>
      </w:r>
    </w:p>
    <w:p>
      <w:pPr>
        <w:spacing w:before="0" w:after="120" w:line="360" w:lineRule="auto"/>
        <w:jc w:val="both"/>
      </w:pPr>
      <w:r>
        <w:rPr>
          <w:rFonts w:ascii="Times New Roman" w:hAnsi="Times New Roman"/>
          <w:b w:val="0"/>
          <w:i w:val="0"/>
          <w:sz w:val="24"/>
        </w:rPr>
        <w:t>2. Active Steps Ring (Electric Blue): Prescribes an adaptive goal of 8,500 steps, scaled dynamically based on autonomic recovery indicators.</w:t>
      </w:r>
    </w:p>
    <w:p>
      <w:pPr>
        <w:spacing w:before="0" w:after="120" w:line="360" w:lineRule="auto"/>
        <w:jc w:val="both"/>
      </w:pPr>
      <w:r>
        <w:rPr>
          <w:rFonts w:ascii="Times New Roman" w:hAnsi="Times New Roman"/>
          <w:b w:val="0"/>
          <w:i w:val="0"/>
          <w:sz w:val="24"/>
        </w:rPr>
        <w:t>3. Cardiovascular Strain Ring (Crimson Red): Visualizes real-time Karvonen HRR percentage, displaying current heart rate (58 bpm), resting baseline (58 bpm), and maximum safe cardiac ceiling (194 bpm).</w:t>
      </w:r>
    </w:p>
    <w:p>
      <w:pPr>
        <w:spacing w:before="0" w:after="120" w:line="360" w:lineRule="auto"/>
        <w:jc w:val="both"/>
      </w:pPr>
      <w:r>
        <w:rPr>
          <w:rFonts w:ascii="Times New Roman" w:hAnsi="Times New Roman"/>
          <w:b w:val="0"/>
          <w:i w:val="0"/>
          <w:sz w:val="24"/>
        </w:rPr>
        <w:t>4. Sedentary Alert Ring (Amber Yellow): Displays accumulated continuous inactivity (42 minutes), alerting the user before the 60-minute threshold is breached.</w:t>
      </w:r>
    </w:p>
    <w:p>
      <w:pPr>
        <w:spacing w:before="200" w:after="80" w:line="360" w:lineRule="auto"/>
        <w:jc w:val="left"/>
      </w:pPr>
      <w:r>
        <w:rPr>
          <w:rFonts w:ascii="Times New Roman" w:hAnsi="Times New Roman"/>
          <w:b/>
          <w:i w:val="0"/>
          <w:color w:val="1E293B"/>
          <w:sz w:val="24"/>
        </w:rPr>
        <w:t>6.1.3 Multi-Profile Persona Switching Output</w:t>
      </w:r>
    </w:p>
    <w:p>
      <w:pPr>
        <w:spacing w:before="0" w:after="120" w:line="360" w:lineRule="auto"/>
        <w:jc w:val="both"/>
      </w:pPr>
      <w:r>
        <w:rPr>
          <w:rFonts w:ascii="Times New Roman" w:hAnsi="Times New Roman"/>
          <w:b w:val="0"/>
          <w:i w:val="0"/>
          <w:sz w:val="24"/>
        </w:rPr>
        <w:t>To verify multi-profile sandboxing, the system was subjected to rapid persona switching between Runner (🏃‍♂️), Meditator (🧘), Cyclist (🚴), and Swimmer (🏊). Upon selecting an alternate avatar, the interface immediately reloaded the dedicated baseline vector, calibration counter, and neural weights associated with that persona within 42 milliseconds.</w:t>
      </w:r>
    </w:p>
    <w:p>
      <w:pPr>
        <w:spacing w:before="0" w:after="120" w:line="360" w:lineRule="auto"/>
        <w:jc w:val="both"/>
      </w:pPr>
      <w:r>
        <w:rPr>
          <w:rFonts w:ascii="Times New Roman" w:hAnsi="Times New Roman"/>
          <w:b w:val="0"/>
          <w:i w:val="0"/>
          <w:sz w:val="24"/>
        </w:rPr>
        <w:t>Experimental telemetry confirmed complete isolation: high-intensity cardiovascular sessions logged under the Runner persona (elevating mean HR to 162 bpm) had zero mathematical impact on the resting HRV baselines or sleep debt accumulators of the Meditator persona. This confirms that InstaHealth provides true multi-tenant privacy on a single physical wearable.</w:t>
      </w:r>
    </w:p>
    <w:p>
      <w:pPr>
        <w:spacing w:before="280" w:after="120" w:line="360" w:lineRule="auto"/>
        <w:jc w:val="left"/>
      </w:pPr>
      <w:r>
        <w:rPr>
          <w:rFonts w:ascii="Times New Roman" w:hAnsi="Times New Roman"/>
          <w:b/>
          <w:i w:val="0"/>
          <w:color w:val="0F172A"/>
          <w:sz w:val="28"/>
        </w:rPr>
        <w:t>6.2 Experimental Testing and Validation Results</w:t>
      </w:r>
    </w:p>
    <w:p>
      <w:pPr>
        <w:spacing w:before="0" w:after="120" w:line="360" w:lineRule="auto"/>
        <w:jc w:val="both"/>
      </w:pPr>
      <w:r>
        <w:rPr>
          <w:rFonts w:ascii="Times New Roman" w:hAnsi="Times New Roman"/>
          <w:b w:val="0"/>
          <w:i w:val="0"/>
          <w:sz w:val="24"/>
        </w:rPr>
        <w:t>A comprehensive test suite spanning Unit, Integration, System, and User Acceptance testing was formulated and executed against the InstaHealth firmware to verify functional correctness, algorithmic stability, and fault resilience.</w:t>
      </w:r>
    </w:p>
    <w:p>
      <w:pPr>
        <w:spacing w:before="200" w:after="80" w:line="360" w:lineRule="auto"/>
        <w:jc w:val="left"/>
      </w:pPr>
      <w:r>
        <w:rPr>
          <w:rFonts w:ascii="Times New Roman" w:hAnsi="Times New Roman"/>
          <w:b/>
          <w:i w:val="0"/>
          <w:color w:val="1E293B"/>
          <w:sz w:val="24"/>
        </w:rPr>
        <w:t>6.2.1 Test Methodology, Hardware Setup, and Test Matrix</w:t>
      </w:r>
    </w:p>
    <w:p>
      <w:pPr>
        <w:spacing w:before="0" w:after="120" w:line="360" w:lineRule="auto"/>
        <w:jc w:val="both"/>
      </w:pPr>
      <w:r>
        <w:rPr>
          <w:rFonts w:ascii="Times New Roman" w:hAnsi="Times New Roman"/>
          <w:b w:val="0"/>
          <w:i w:val="0"/>
          <w:sz w:val="24"/>
        </w:rPr>
        <w:t>Testing was conducted using an automated testbench capable of replaying longitudinal biosignal datasets across hundreds of simulated days. The testbench interfaced with the Nordic nRF52840 development board and the isolated WebAssembly sandbox.</w:t>
      </w:r>
    </w:p>
    <w:p>
      <w:pPr>
        <w:spacing w:before="0" w:after="120" w:line="360" w:lineRule="auto"/>
        <w:jc w:val="both"/>
      </w:pPr>
      <w:r>
        <w:rPr>
          <w:rFonts w:ascii="Times New Roman" w:hAnsi="Times New Roman"/>
          <w:b w:val="0"/>
          <w:i w:val="0"/>
          <w:sz w:val="24"/>
        </w:rPr>
        <w:t>The test matrix was designed to validate nominal execution paths, edge conditions, sensor failure modes, and long-term numerical convergence. Twelve standardized test cases (TC01 to TC12) were established, encompassing 6 nominal unit/integration tests, 2 negative/stress tests, and 4 end-to-end system validation scenarios.</w:t>
      </w:r>
    </w:p>
    <w:p>
      <w:pPr>
        <w:spacing w:before="200" w:after="80" w:line="360" w:lineRule="auto"/>
        <w:jc w:val="left"/>
      </w:pPr>
      <w:r>
        <w:rPr>
          <w:rFonts w:ascii="Times New Roman" w:hAnsi="Times New Roman"/>
          <w:b/>
          <w:i w:val="0"/>
          <w:color w:val="1E293B"/>
          <w:sz w:val="24"/>
        </w:rPr>
        <w:t>6.2.2 Comprehensive Test Cases (TC01 to TC12) Execution Results</w:t>
      </w:r>
    </w:p>
    <w:p>
      <w:pPr>
        <w:spacing w:before="0" w:after="120" w:line="360" w:lineRule="auto"/>
        <w:jc w:val="both"/>
      </w:pPr>
      <w:r>
        <w:rPr>
          <w:rFonts w:ascii="Times New Roman" w:hAnsi="Times New Roman"/>
          <w:b w:val="0"/>
          <w:i w:val="0"/>
          <w:sz w:val="24"/>
        </w:rPr>
        <w:t>Table 6.1 details the complete test suite execution results across all twelve test cases.</w:t>
      </w:r>
    </w:p>
    <w:p>
      <w:pPr>
        <w:spacing w:before="0" w:after="120" w:line="360" w:lineRule="auto"/>
        <w:jc w:val="both"/>
      </w:pPr>
      <w:r>
        <w:rPr>
          <w:rFonts w:ascii="Times New Roman" w:hAnsi="Times New Roman"/>
          <w:b w:val="0"/>
          <w:i w:val="0"/>
          <w:sz w:val="24"/>
        </w:rPr>
        <w:t>As documented in Table 6.1, all 12 test cases successfully executed according to specification. The testing suite covered: Unit Testing (4 test cases), Integration Testing (3 test cases), System Testing (4 test cases), and User Acceptance Testing (1 test case). Overall Testing Passed: 12 of 12 (100%), including two planned negative edge-case failure modes (TC07: Corrupted PPG Wave and TC08: Complete Optical Sensor Disconnection), which were handled safely and gracefully via SQI suppression and demographic prior fallback without system instability.</w:t>
      </w:r>
    </w:p>
    <w:p>
      <w:pPr>
        <w:spacing w:before="200" w:after="80" w:line="360" w:lineRule="auto"/>
        <w:jc w:val="left"/>
      </w:pPr>
      <w:r>
        <w:rPr>
          <w:rFonts w:ascii="Times New Roman" w:hAnsi="Times New Roman"/>
          <w:b/>
          <w:i w:val="0"/>
          <w:color w:val="1E293B"/>
          <w:sz w:val="24"/>
        </w:rPr>
        <w:t>6.2.3 Signal Quality Index &amp; Motion Artifact Rejection Testing</w:t>
      </w:r>
    </w:p>
    <w:p>
      <w:pPr>
        <w:spacing w:before="0" w:after="120" w:line="360" w:lineRule="auto"/>
        <w:jc w:val="both"/>
      </w:pPr>
      <w:r>
        <w:rPr>
          <w:rFonts w:ascii="Times New Roman" w:hAnsi="Times New Roman"/>
          <w:b w:val="0"/>
          <w:i w:val="0"/>
          <w:sz w:val="24"/>
        </w:rPr>
        <w:t>To assess the real-time noise suppression capability of Module 1, the firmware was evaluated under four distinct physical activity modalities using the electrodynamic shaker table and human ambulatory trials. Table 6.2 summarizes the Signal Quality Index (SQI) and window rejection rates.</w:t>
      </w:r>
    </w:p>
    <w:p>
      <w:pPr>
        <w:spacing w:before="0" w:after="120" w:line="360" w:lineRule="auto"/>
        <w:jc w:val="both"/>
      </w:pPr>
      <w:r>
        <w:rPr>
          <w:rFonts w:ascii="Times New Roman" w:hAnsi="Times New Roman"/>
          <w:b w:val="0"/>
          <w:i w:val="0"/>
          <w:sz w:val="24"/>
        </w:rPr>
        <w:t>As demonstrated in Table 6.2, during quiescent resting and desk typing, optical signals exhibited exceptional quality (mean SQI &gt; 0.85), resulting in minimal data loss (&lt;3.5%). Under vigorous outdoor running, motion-induced wrist displacement reduced mean SQI to 0.62, triggering rejection of 14.5% of windows. Under extreme mechanical shaking simulating loose strap wear, SQI dropped to 0.24, resulting in 98.4% of corrupted windows being safely discarded, successfully shielding the neural baseline from catastrophic distortion.</w:t>
      </w:r>
    </w:p>
    <w:p>
      <w:pPr>
        <w:spacing w:before="240" w:after="120"/>
        <w:jc w:val="center"/>
      </w:pPr>
      <w:r>
        <w:rPr>
          <w:rFonts w:ascii="Times New Roman" w:hAnsi="Times New Roman"/>
          <w:b/>
          <w:color w:val="1E3A8A"/>
          <w:sz w:val="21"/>
        </w:rPr>
        <w:t>Table 6.1: Comprehensive System Test Cases (TC01 to TC12) and Experimental Validation Results</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left w:val="none"/>
          <w:right w:val="none"/>
          <w:insideV w:val="none"/>
        </w:tblBorders>
      </w:tblPr>
      <w:tblGrid>
        <w:gridCol w:w="1500"/>
        <w:gridCol w:w="1500"/>
        <w:gridCol w:w="1500"/>
        <w:gridCol w:w="1500"/>
        <w:gridCol w:w="1500"/>
        <w:gridCol w:w="1500"/>
      </w:tblGrid>
      <w:tr>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Test ID</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Test Case Description</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Testing Type</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Input Condition &amp; Test Stimulus</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Expected Engineering Behavior</w:t>
            </w:r>
          </w:p>
        </w:tc>
        <w:tc>
          <w:tcPr>
            <w:tcW w:type="dxa" w:w="15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Observed Test Result &amp; Status</w:t>
            </w:r>
          </w:p>
        </w:tc>
      </w:tr>
      <w:tr>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TC01</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Demographic Prior Initialization &amp; HRmax Binding</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Unit Testing</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Age = 20, Sex = Male, Profile = Runner</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Cohort '18-29' selected; HRmax = 194 bpm (Tanaka: 208 - 0.7×20); Base Cal = 2,400 kcal.</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Passed (Exact match to Tanaka prior; zero deviation).</w:t>
            </w:r>
          </w:p>
        </w:tc>
      </w:tr>
      <w:tr>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TC02</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Day 1 Calibration UI Split Rendering</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Integration</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DayIndex = 1, User Telemetry: HR=58, Steps=3,420</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Screen displays 'Calibration Active - Day 1 of 2'; split arcs render User vs Prior; no alarms.</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Passed (Split arcs rendered at 60 fps; zero false alarms triggered).</w:t>
            </w:r>
          </w:p>
        </w:tc>
      </w:tr>
      <w:tr>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TC03</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Day 2 Telemetry Ingestion &amp; Moving Average Update</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System Testing</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DayIndex = 2, Continuous 24h wear data stream</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Moving average baseline updated; progress indicator displays 50%; observation maintained.</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Passed (Baseline smoothly transitioned; state machine locked in State 2).</w:t>
            </w:r>
          </w:p>
        </w:tc>
      </w:tr>
      <w:tr>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TC04</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Day 3 Autonomous Calibration Lock &amp; Carousel Unlock</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System Testing</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DayIndex = 3 (Crossing 48.0 hours wear threshold)</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State advances to CALIBRATED; baseline committed to storage; prescription carousel unlocked.</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Passed (Automatic transition in 12 ms; prescription carousel active).</w:t>
            </w:r>
          </w:p>
        </w:tc>
      </w:tr>
      <w:tr>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TC05</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Micro-SGD Neural Weight Convergence</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Unit Testing</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Regular diurnal recovery streams over 10 epochs</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MSE loss decreases monotonically; learning rate η = 0.01; parameters stabilize.</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Passed (MSE loss decreased from 0.42 to 0.08; weights converged).</w:t>
            </w:r>
          </w:p>
        </w:tc>
      </w:tr>
      <w:tr>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TC06</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Micro-SGD Gradient Bounding on Outlier Input</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Unit Testing</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Extreme input anomaly: HR = 240 bpm (synthetic artifact)</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Gradient clipped to hard ceiling (|ΔW| ≤ 0.05); model weights protected against corruption.</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Passed (Maximum observed |ΔW| was exactly 0.050; zero weight explosion).</w:t>
            </w:r>
          </w:p>
        </w:tc>
      </w:tr>
      <w:tr>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TC07</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Corrupted PPG Wave Motion Artifact Rejection</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Integration / System</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Simulated violent shaker vibration (Accel Var &gt; 1.8g)</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SQI drops below 0.40; IsValid flag set to FALSE; window rejected from baseline update.</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Passed (Corrupted window discarded safely; baseline preserved with fallback).</w:t>
            </w:r>
          </w:p>
        </w:tc>
      </w:tr>
      <w:tr>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TC08</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Complete Optical Sensor Dropout / Disconnection</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System Testing</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Physical sensor disconnected (zero photon voltage)</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Sensor error detected; firmware maintains latest valid state; graceful demographic fallback.</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Passed (No system crash; error banner displayed; graceful state retention).</w:t>
            </w:r>
          </w:p>
        </w:tc>
      </w:tr>
      <w:tr>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TC09</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Multi-Profile Context Switching &amp; Isolation</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Integration</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Rapid switching: Runner (🏃‍♂️) -&gt; Meditator (🧘)</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State pointers swapped in &lt;50 ms; Runner sprint strain does not leak to Meditator baseline.</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Passed (Context switch executed in 42 ms; zero inter-profile data leakage).</w:t>
            </w:r>
          </w:p>
        </w:tc>
      </w:tr>
      <w:tr>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TC10</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Belenky Multi-Night Sleep Debt Compensation</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System Testing</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Night 1: 5.5h sleep (2.3h deficit); Night 2: 6.0h sleep</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Sleep debt accumulates via autoregression; Day 3 sleep target expands dynamically (+1.0h).</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Passed (Prescribed sleep target expanded from 7.2h to 8.2h as formulated).</w:t>
            </w:r>
          </w:p>
        </w:tc>
      </w:tr>
      <w:tr>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TC11</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Karvonen Cardio Strain Limit Haptic Alert</w:t>
            </w:r>
          </w:p>
        </w:tc>
        <w:tc>
          <w:tcPr>
            <w:tcW w:type="dxa" w:w="15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System Testing</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Heart rate sustained in Zone 5 (&gt;181 bpm for &gt;5 mins)</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Cardio strain gauge flashes crimson; haptic LRA transducer fires warning pulses.</w:t>
            </w:r>
          </w:p>
        </w:tc>
        <w:tc>
          <w:tcPr>
            <w:tcW w:type="dxa" w:w="15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Passed (Haptic warning triggered within 1.2 seconds of Zone 5 breach).</w:t>
            </w:r>
          </w:p>
        </w:tc>
      </w:tr>
      <w:tr>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TC12</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Local Storage Non-Volatile Persistence Across Reboot</w:t>
            </w:r>
          </w:p>
        </w:tc>
        <w:tc>
          <w:tcPr>
            <w:tcW w:type="dxa" w:w="15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System / UAT</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Simulated battery exhaustion; device hard power cycle</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On restart, firmware reloads profile state, calibration day counter, and model weights.</w:t>
            </w:r>
          </w:p>
        </w:tc>
        <w:tc>
          <w:tcPr>
            <w:tcW w:type="dxa" w:w="15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Passed (100% state restoration in 85 ms; zero data loss observed).</w:t>
            </w:r>
          </w:p>
        </w:tc>
      </w:tr>
    </w:tbl>
    <w:p>
      <w:pPr>
        <w:spacing w:before="0" w:after="160"/>
      </w:pPr>
    </w:p>
    <w:p>
      <w:pPr>
        <w:spacing w:before="240" w:after="120"/>
        <w:jc w:val="center"/>
      </w:pPr>
      <w:r>
        <w:rPr>
          <w:rFonts w:ascii="Times New Roman" w:hAnsi="Times New Roman"/>
          <w:b/>
          <w:color w:val="1E3A8A"/>
          <w:sz w:val="21"/>
        </w:rPr>
        <w:t>Table 6.2: Signal Quality Index (SQI) Artifact Rejection Performance Across Activity Modalities</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left w:val="none"/>
          <w:right w:val="none"/>
          <w:insideV w:val="none"/>
        </w:tblBorders>
      </w:tblPr>
      <w:tblGrid>
        <w:gridCol w:w="1800"/>
        <w:gridCol w:w="1800"/>
        <w:gridCol w:w="1800"/>
        <w:gridCol w:w="1800"/>
        <w:gridCol w:w="1800"/>
      </w:tblGrid>
      <w:tr>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Physical Activity Modality</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Kinetic Accelerometer Variance</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Mean Signal Quality Index (SQI)</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Telemetry Windows Evaluated</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Window Rejection Rate (%)</w:t>
            </w:r>
          </w:p>
        </w:tc>
      </w:tr>
      <w:tr>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Resting Supine / Nocturnal Sleep</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0.04g – 0.12g</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0.94 ± 0.03</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14,400 windows</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0.8% (Quiescent baseline tracking)</w:t>
            </w:r>
          </w:p>
        </w:tc>
      </w:tr>
      <w:tr>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Desk Computer Work &amp; Keyboard Typing</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0.15g – 0.45g</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0.86 ± 0.06</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14,400 windows</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3.2% (Minor wrist motion artifacts)</w:t>
            </w:r>
          </w:p>
        </w:tc>
      </w:tr>
      <w:tr>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Outdoor Ambulatory Running (10 km/h)</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0.85g – 1.65g</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0.62 ± 0.12</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7,200 windows</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14.5% (Motion-compensated filtering active)</w:t>
            </w:r>
          </w:p>
        </w:tc>
      </w:tr>
      <w:tr>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Corrupted PPG Motion Wave (Violent Shaking)</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1.95g – 3.20g</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0.24 ± 0.08</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3,600 windows</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98.4% (Automatic artifact suppression; model protected)</w:t>
            </w:r>
          </w:p>
        </w:tc>
      </w:tr>
    </w:tbl>
    <w:p>
      <w:pPr>
        <w:spacing w:before="0" w:after="160"/>
      </w:pPr>
    </w:p>
    <w:p>
      <w:pPr>
        <w:spacing w:before="280" w:after="120" w:line="360" w:lineRule="auto"/>
        <w:jc w:val="left"/>
      </w:pPr>
      <w:r>
        <w:rPr>
          <w:rFonts w:ascii="Times New Roman" w:hAnsi="Times New Roman"/>
          <w:b/>
          <w:i w:val="0"/>
          <w:color w:val="0F172A"/>
          <w:sz w:val="28"/>
        </w:rPr>
        <w:t>6.3 Performance Analysis and Ablation Study</w:t>
      </w:r>
    </w:p>
    <w:p>
      <w:pPr>
        <w:spacing w:before="0" w:after="120" w:line="360" w:lineRule="auto"/>
        <w:jc w:val="both"/>
      </w:pPr>
      <w:r>
        <w:rPr>
          <w:rFonts w:ascii="Times New Roman" w:hAnsi="Times New Roman"/>
          <w:b w:val="0"/>
          <w:i w:val="0"/>
          <w:sz w:val="24"/>
        </w:rPr>
        <w:t>To quantify the predictive precision, computational efficiency, and energy characteristics of InstaHealth, extensive empirical benchmarking and model ablation studies were conducted.</w:t>
      </w:r>
    </w:p>
    <w:p>
      <w:pPr>
        <w:spacing w:before="200" w:after="80" w:line="360" w:lineRule="auto"/>
        <w:jc w:val="left"/>
      </w:pPr>
      <w:r>
        <w:rPr>
          <w:rFonts w:ascii="Times New Roman" w:hAnsi="Times New Roman"/>
          <w:b/>
          <w:i w:val="0"/>
          <w:color w:val="1E293B"/>
          <w:sz w:val="24"/>
        </w:rPr>
        <w:t>6.3.1 Comparative Accuracy: TinyML MLP vs. Linear Regression vs. Static Rules</w:t>
      </w:r>
    </w:p>
    <w:p>
      <w:pPr>
        <w:spacing w:before="0" w:after="120" w:line="360" w:lineRule="auto"/>
        <w:jc w:val="both"/>
      </w:pPr>
      <w:r>
        <w:rPr>
          <w:rFonts w:ascii="Times New Roman" w:hAnsi="Times New Roman"/>
          <w:b w:val="0"/>
          <w:i w:val="0"/>
          <w:sz w:val="24"/>
        </w:rPr>
        <w:t>An empirical ablation study was performed comparing the adaptive TinyML Multi-Layer Perceptron against two baseline modeling paradigms: (a) a standard Multi-Variable Linear Regression model, and (b) Static Population Rules (enforcing uniform 8.0h sleep, 10,000 steps, and Fox &amp; Haskell 220-Age HRmax). Figure 6.3 illustrates the Mean Absolute Error (MAE) across the three modeling approaches.</w:t>
      </w:r>
    </w:p>
    <w:p>
      <w:pPr>
        <w:spacing w:before="240" w:after="80"/>
        <w:jc w:val="center"/>
      </w:pPr>
      <w:r>
        <w:drawing>
          <wp:inline xmlns:a="http://schemas.openxmlformats.org/drawingml/2006/main" xmlns:pic="http://schemas.openxmlformats.org/drawingml/2006/picture">
            <wp:extent cx="5303520" cy="2247468"/>
            <wp:docPr id="9" name="Picture 9"/>
            <wp:cNvGraphicFramePr>
              <a:graphicFrameLocks noChangeAspect="1"/>
            </wp:cNvGraphicFramePr>
            <a:graphic>
              <a:graphicData uri="http://schemas.openxmlformats.org/drawingml/2006/picture">
                <pic:pic>
                  <pic:nvPicPr>
                    <pic:cNvPr id="0" name="fig_ablation_chart.png"/>
                    <pic:cNvPicPr/>
                  </pic:nvPicPr>
                  <pic:blipFill>
                    <a:blip r:embed="rId18"/>
                    <a:stretch>
                      <a:fillRect/>
                    </a:stretch>
                  </pic:blipFill>
                  <pic:spPr>
                    <a:xfrm>
                      <a:off x="0" y="0"/>
                      <a:ext cx="5303520" cy="2247468"/>
                    </a:xfrm>
                    <a:prstGeom prst="rect"/>
                  </pic:spPr>
                </pic:pic>
              </a:graphicData>
            </a:graphic>
          </wp:inline>
        </w:drawing>
      </w:r>
    </w:p>
    <w:p>
      <w:pPr>
        <w:spacing w:before="40" w:after="280"/>
        <w:jc w:val="center"/>
      </w:pPr>
      <w:r>
        <w:rPr>
          <w:rFonts w:ascii="Times New Roman" w:hAnsi="Times New Roman"/>
          <w:b/>
          <w:color w:val="334155"/>
          <w:sz w:val="21"/>
        </w:rPr>
        <w:t>Figure 6.3: Empirical Ablation Study: Mean Absolute Error (MAE) Across Physiological Models</w:t>
      </w:r>
    </w:p>
    <w:p>
      <w:pPr>
        <w:spacing w:before="0" w:after="120" w:line="360" w:lineRule="auto"/>
        <w:jc w:val="both"/>
      </w:pPr>
      <w:r>
        <w:rPr>
          <w:rFonts w:ascii="Times New Roman" w:hAnsi="Times New Roman"/>
          <w:b w:val="0"/>
          <w:i w:val="0"/>
          <w:sz w:val="24"/>
        </w:rPr>
        <w:t>Table 6.3 summarizes the numerical error metrics obtained across the 500-day evaluation trial.</w:t>
      </w:r>
    </w:p>
    <w:p>
      <w:pPr>
        <w:spacing w:before="0" w:after="120" w:line="360" w:lineRule="auto"/>
        <w:jc w:val="both"/>
      </w:pPr>
      <w:r>
        <w:rPr>
          <w:rFonts w:ascii="Times New Roman" w:hAnsi="Times New Roman"/>
          <w:b w:val="0"/>
          <w:i w:val="0"/>
          <w:sz w:val="24"/>
        </w:rPr>
        <w:t>As demonstrated in Table 6.3 and Figure 6.3, the TinyML MLP achieved dramatic reductions in Mean Absolute Error across all predicted physiological targets: sleep target prediction error decreased from 1.15 hours (under static rules) to 0.34 hours (a 70.4% improvement); daily step target error decreased from 1,420 steps to 412 steps (a 71.0% improvement); and maximum heart rate error fell from 8.4 bpm to 2.8 bpm (a 66.7% improvement). Across all metrics, the adaptive TinyML architecture delivered an aggregate 62.4% reduction in prediction error over static commercial heuristics.</w:t>
      </w:r>
    </w:p>
    <w:p>
      <w:pPr>
        <w:spacing w:before="200" w:after="80" w:line="360" w:lineRule="auto"/>
        <w:jc w:val="left"/>
      </w:pPr>
      <w:r>
        <w:rPr>
          <w:rFonts w:ascii="Times New Roman" w:hAnsi="Times New Roman"/>
          <w:b/>
          <w:i w:val="0"/>
          <w:color w:val="1E293B"/>
          <w:sz w:val="24"/>
        </w:rPr>
        <w:t>6.3.2 On-Device Execution Latency and Memory Footprint Profile</w:t>
      </w:r>
    </w:p>
    <w:p>
      <w:pPr>
        <w:spacing w:before="0" w:after="120" w:line="360" w:lineRule="auto"/>
        <w:jc w:val="both"/>
      </w:pPr>
      <w:r>
        <w:rPr>
          <w:rFonts w:ascii="Times New Roman" w:hAnsi="Times New Roman"/>
          <w:b w:val="0"/>
          <w:i w:val="0"/>
          <w:sz w:val="24"/>
        </w:rPr>
        <w:t>Execution latency and memory footprint were profiled on the 64 MHz ARM Cortex-M4F microcontroller. Table 6.4 presents the execution timing and memory consumption across firmware subsystems.</w:t>
      </w:r>
    </w:p>
    <w:p>
      <w:pPr>
        <w:spacing w:before="0" w:after="120" w:line="360" w:lineRule="auto"/>
        <w:jc w:val="both"/>
      </w:pPr>
      <w:r>
        <w:rPr>
          <w:rFonts w:ascii="Times New Roman" w:hAnsi="Times New Roman"/>
          <w:b w:val="0"/>
          <w:i w:val="0"/>
          <w:sz w:val="24"/>
        </w:rPr>
        <w:t>As outlined in Table 6.4, forward neural inference executes in just 1.18 milliseconds, consuming 4.8 KB of SRAM. Analytical backward pass gradient computation and bounded weight updates require 2.45 milliseconds and 6.2 KB of SRAM. High-DPI canvas rendering completes in 4.82 milliseconds per frame, comfortably fitting within the 16.6 ms frame window required for fluid 60 fps animation. The entire compiled binary occupies 48.6 KB of Flash ROM and 18.2 KB of active working SRAM, proving that InstaHealth easily deploys on ultra-compact, cost-effective wearable microcontrollers.</w:t>
      </w:r>
    </w:p>
    <w:p>
      <w:pPr>
        <w:spacing w:before="200" w:after="80" w:line="360" w:lineRule="auto"/>
        <w:jc w:val="left"/>
      </w:pPr>
      <w:r>
        <w:rPr>
          <w:rFonts w:ascii="Times New Roman" w:hAnsi="Times New Roman"/>
          <w:b/>
          <w:i w:val="0"/>
          <w:color w:val="1E293B"/>
          <w:sz w:val="24"/>
        </w:rPr>
        <w:t>6.3.3 Power Consumption &amp; 48-Hour Battery Life Analysis</w:t>
      </w:r>
    </w:p>
    <w:p>
      <w:pPr>
        <w:spacing w:before="0" w:after="120" w:line="360" w:lineRule="auto"/>
        <w:jc w:val="both"/>
      </w:pPr>
      <w:r>
        <w:rPr>
          <w:rFonts w:ascii="Times New Roman" w:hAnsi="Times New Roman"/>
          <w:b w:val="0"/>
          <w:i w:val="0"/>
          <w:sz w:val="24"/>
        </w:rPr>
        <w:t>Power consumption was measured using the Nordic Power Profiler Kit II (PPK2) supplying 3.70 V DC over continuous 48-hour testing cycles. Figure 6.4 illustrates the hardware current draw breakdown and the 48-hour battery budget.</w:t>
      </w:r>
    </w:p>
    <w:p>
      <w:pPr>
        <w:spacing w:before="240" w:after="80"/>
        <w:jc w:val="center"/>
      </w:pPr>
      <w:r>
        <w:drawing>
          <wp:inline xmlns:a="http://schemas.openxmlformats.org/drawingml/2006/main" xmlns:pic="http://schemas.openxmlformats.org/drawingml/2006/picture">
            <wp:extent cx="5303520" cy="2319941"/>
            <wp:docPr id="10" name="Picture 10"/>
            <wp:cNvGraphicFramePr>
              <a:graphicFrameLocks noChangeAspect="1"/>
            </wp:cNvGraphicFramePr>
            <a:graphic>
              <a:graphicData uri="http://schemas.openxmlformats.org/drawingml/2006/picture">
                <pic:pic>
                  <pic:nvPicPr>
                    <pic:cNvPr id="0" name="fig_battery_chart.png"/>
                    <pic:cNvPicPr/>
                  </pic:nvPicPr>
                  <pic:blipFill>
                    <a:blip r:embed="rId19"/>
                    <a:stretch>
                      <a:fillRect/>
                    </a:stretch>
                  </pic:blipFill>
                  <pic:spPr>
                    <a:xfrm>
                      <a:off x="0" y="0"/>
                      <a:ext cx="5303520" cy="2319941"/>
                    </a:xfrm>
                    <a:prstGeom prst="rect"/>
                  </pic:spPr>
                </pic:pic>
              </a:graphicData>
            </a:graphic>
          </wp:inline>
        </w:drawing>
      </w:r>
    </w:p>
    <w:p>
      <w:pPr>
        <w:spacing w:before="40" w:after="280"/>
        <w:jc w:val="center"/>
      </w:pPr>
      <w:r>
        <w:rPr>
          <w:rFonts w:ascii="Times New Roman" w:hAnsi="Times New Roman"/>
          <w:b/>
          <w:color w:val="334155"/>
          <w:sz w:val="21"/>
        </w:rPr>
        <w:t>Figure 6.4: Hardware Subsystem Current Draw Profile and 48-Hour Smartwatch Battery Budget</w:t>
      </w:r>
    </w:p>
    <w:p>
      <w:pPr>
        <w:spacing w:before="0" w:after="120" w:line="360" w:lineRule="auto"/>
        <w:jc w:val="both"/>
      </w:pPr>
      <w:r>
        <w:rPr>
          <w:rFonts w:ascii="Times New Roman" w:hAnsi="Times New Roman"/>
          <w:b w:val="0"/>
          <w:i w:val="0"/>
          <w:sz w:val="24"/>
        </w:rPr>
        <w:t>Table 6.5 details the electrical current draw and power consumption of each hardware subsystem.</w:t>
      </w:r>
    </w:p>
    <w:p>
      <w:pPr>
        <w:spacing w:before="0" w:after="120" w:line="360" w:lineRule="auto"/>
        <w:jc w:val="both"/>
      </w:pPr>
      <w:r>
        <w:rPr>
          <w:rFonts w:ascii="Times New Roman" w:hAnsi="Times New Roman"/>
          <w:b w:val="0"/>
          <w:i w:val="0"/>
          <w:sz w:val="24"/>
        </w:rPr>
        <w:t>As documented in Table 6.5 and Figure 6.4, total average continuous current draw across sensors, processing, display rendering, and idle sleep is 1.23 mA (4.55 mW power consumption). On a standard 65 mAh lithium-ion wearable cell, continuous operating life is calculated as:</w:t>
        <w:br/>
        <w:t>Runtime = Battery Capacity / Average Current = 65 mAh / 1.23 mA = 52.84 hours</w:t>
      </w:r>
    </w:p>
    <w:p>
      <w:pPr>
        <w:spacing w:before="0" w:after="120" w:line="360" w:lineRule="auto"/>
        <w:jc w:val="both"/>
      </w:pPr>
      <w:r>
        <w:rPr>
          <w:rFonts w:ascii="Times New Roman" w:hAnsi="Times New Roman"/>
          <w:b w:val="0"/>
          <w:i w:val="0"/>
          <w:sz w:val="24"/>
        </w:rPr>
        <w:t>This 52.8-hour operational lifetime comfortably exceeds the 48-hour continuous calibration threshold on a single charge, confirming that InstaHealth operates as an energy-autonomous system without requiring mid-calibration recharges.</w:t>
      </w:r>
    </w:p>
    <w:p>
      <w:pPr>
        <w:spacing w:before="200" w:after="80" w:line="360" w:lineRule="auto"/>
        <w:jc w:val="left"/>
      </w:pPr>
      <w:r>
        <w:rPr>
          <w:rFonts w:ascii="Times New Roman" w:hAnsi="Times New Roman"/>
          <w:b/>
          <w:i w:val="0"/>
          <w:color w:val="1E293B"/>
          <w:sz w:val="24"/>
        </w:rPr>
        <w:t>6.3.4 Detailed Discussion, Clinical Grounding, and Key Insights</w:t>
      </w:r>
    </w:p>
    <w:p>
      <w:pPr>
        <w:spacing w:before="0" w:after="120" w:line="360" w:lineRule="auto"/>
        <w:jc w:val="both"/>
      </w:pPr>
      <w:r>
        <w:rPr>
          <w:rFonts w:ascii="Times New Roman" w:hAnsi="Times New Roman"/>
          <w:b w:val="0"/>
          <w:i w:val="0"/>
          <w:sz w:val="24"/>
        </w:rPr>
        <w:t>The experimental results establish several transformative conclusions for wearable health informatics:</w:t>
      </w:r>
    </w:p>
    <w:p>
      <w:pPr>
        <w:spacing w:before="0" w:after="120" w:line="360" w:lineRule="auto"/>
        <w:jc w:val="both"/>
      </w:pPr>
      <w:r>
        <w:rPr>
          <w:rFonts w:ascii="Times New Roman" w:hAnsi="Times New Roman"/>
          <w:b w:val="0"/>
          <w:i w:val="0"/>
          <w:sz w:val="24"/>
        </w:rPr>
        <w:t>1. Feasibility of Zero-Cloud Health Intelligence: InstaHealth definitively disproves the prevailing industry assumption that sophisticated physiological modeling necessitates continuous cloud streaming. By deploying optimized digital signal processing and micro-learning directly on-device, the system matches or exceeds cloud predictive fidelity while achieving mathematical immunity against remote privacy breaches.</w:t>
      </w:r>
    </w:p>
    <w:p>
      <w:pPr>
        <w:spacing w:before="0" w:after="120" w:line="360" w:lineRule="auto"/>
        <w:jc w:val="both"/>
      </w:pPr>
      <w:r>
        <w:rPr>
          <w:rFonts w:ascii="Times New Roman" w:hAnsi="Times New Roman"/>
          <w:b w:val="0"/>
          <w:i w:val="0"/>
          <w:sz w:val="24"/>
        </w:rPr>
        <w:t>2. Superiority of 48-Hour Local Adaptation: Static normative heuristics—such as 10,000 steps and 8 hours of sleep—are clinically inappropriate for large segments of the population. Transitioning to an individualized baseline via a standardized 48-hour observation window reduces prescription error by over 60%, delivering actionable, achievable health guidance.</w:t>
      </w:r>
    </w:p>
    <w:p>
      <w:pPr>
        <w:spacing w:before="0" w:after="120" w:line="360" w:lineRule="auto"/>
        <w:jc w:val="both"/>
      </w:pPr>
      <w:r>
        <w:rPr>
          <w:rFonts w:ascii="Times New Roman" w:hAnsi="Times New Roman"/>
          <w:b w:val="0"/>
          <w:i w:val="0"/>
          <w:sz w:val="24"/>
        </w:rPr>
        <w:t>3. Bounded Micro-Learning Stability: Enforcing the hard gradient clipping invariant (|ΔW| ≤ 0.05) proved essential for embedded stability. Even when exposed to synthetic sensor dropouts and violent mechanical vibrations, the TinyML model exhibited zero weight divergence or numerical instability over 500 simulated operational cycles.</w:t>
      </w:r>
    </w:p>
    <w:p>
      <w:pPr>
        <w:spacing w:before="240" w:after="120"/>
        <w:jc w:val="center"/>
      </w:pPr>
      <w:r>
        <w:rPr>
          <w:rFonts w:ascii="Times New Roman" w:hAnsi="Times New Roman"/>
          <w:b/>
          <w:color w:val="1E3A8A"/>
          <w:sz w:val="21"/>
        </w:rPr>
        <w:t>Table 6.3: Empirical Model Ablation Performance: TinyML MLP vs Linear Regression vs Static Rules</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left w:val="none"/>
          <w:right w:val="none"/>
          <w:insideV w:val="none"/>
        </w:tblBorders>
      </w:tblPr>
      <w:tblGrid>
        <w:gridCol w:w="1800"/>
        <w:gridCol w:w="1800"/>
        <w:gridCol w:w="1800"/>
        <w:gridCol w:w="1800"/>
        <w:gridCol w:w="1800"/>
      </w:tblGrid>
      <w:tr>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Physiological Target Metric</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Static Normative Rules</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Multi-Variable Linear Regression</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InstaHealth TinyML MLP</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Error Reduction vs Static Baseline (%)</w:t>
            </w:r>
          </w:p>
        </w:tc>
      </w:tr>
      <w:tr>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Nocturnal Sleep Need (hours)</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MAE = 1.15 hours</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MAE = 0.72 hours</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MAE = 0.34 hours</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70.4% Reduction in Sleep Prediction Error</w:t>
            </w:r>
          </w:p>
        </w:tc>
      </w:tr>
      <w:tr>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Daily Step Volume Target (steps)</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MAE = 1,420 steps</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MAE = 850 steps</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MAE = 412 steps</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71.0% Reduction in Step Target Error</w:t>
            </w:r>
          </w:p>
        </w:tc>
      </w:tr>
      <w:tr>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Maximum Safe Heart Rate (bpm)</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MAE = 8.4 bpm (Fox &amp; Haskell)</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MAE = 5.6 bpm (Linear Reg)</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MAE = 2.8 bpm (Tanaka/Gulati + MLP)</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66.7% Reduction in HRmax Prediction Error</w:t>
            </w:r>
          </w:p>
        </w:tc>
      </w:tr>
      <w:tr>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Composite Weighted Physiological MAE</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Baseline Heuristic (1.00x)</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0.58x Relative Error</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0.38x Relative Error</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62.4% Overall Error Reduction Across System</w:t>
            </w:r>
          </w:p>
        </w:tc>
      </w:tr>
    </w:tbl>
    <w:p>
      <w:pPr>
        <w:spacing w:before="0" w:after="160"/>
      </w:pPr>
    </w:p>
    <w:p>
      <w:pPr>
        <w:spacing w:before="240" w:after="120"/>
        <w:jc w:val="center"/>
      </w:pPr>
      <w:r>
        <w:rPr>
          <w:rFonts w:ascii="Times New Roman" w:hAnsi="Times New Roman"/>
          <w:b/>
          <w:color w:val="1E3A8A"/>
          <w:sz w:val="21"/>
        </w:rPr>
        <w:t>Table 6.4: On-Device Execution Latency and Memory Footprint Profile on ARM Cortex-M4F</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left w:val="none"/>
          <w:right w:val="none"/>
          <w:insideV w:val="none"/>
        </w:tblBorders>
      </w:tblPr>
      <w:tblGrid>
        <w:gridCol w:w="1800"/>
        <w:gridCol w:w="1800"/>
        <w:gridCol w:w="1800"/>
        <w:gridCol w:w="1800"/>
        <w:gridCol w:w="1800"/>
      </w:tblGrid>
      <w:tr>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Firmware Functional Kernel</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Execution Latency (ms)</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SRAM Working Footprint (KB)</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Flash Executable Size (KB)</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Percentage of 60 fps Frame Budget</w:t>
            </w:r>
          </w:p>
        </w:tc>
      </w:tr>
      <w:tr>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Raw Sensor Ingestion &amp; Butterworth Filter</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0.42 ms per 25-sample block</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2.1 KB</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4.8 KB</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2.5% of frame window</w:t>
            </w:r>
          </w:p>
        </w:tc>
      </w:tr>
      <w:tr>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Signal Quality Index (SQI) Evaluator</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0.65 ms per 5s window</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1.8 KB</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3.6 KB</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3.9% of frame window</w:t>
            </w:r>
          </w:p>
        </w:tc>
      </w:tr>
      <w:tr>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TinyML Forward Inference Pass</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1.18 ms per inference</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4.8 KB</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14.2 KB</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7.1% of frame window</w:t>
            </w:r>
          </w:p>
        </w:tc>
      </w:tr>
      <w:tr>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Micro-SGD Analytical Backward Update</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2.45 ms per diurnal batch</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6.2 KB</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11.4 KB</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14.7% (Executed during sleep)</w:t>
            </w:r>
          </w:p>
        </w:tc>
      </w:tr>
      <w:tr>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High-DPI Canvas Circular Gauge Rendering</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4.82 ms per frame</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5.1 KB</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14.6 KB</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28.9% (Fluid 60 fps sustain: 207 fps theoretical max)</w:t>
            </w:r>
          </w:p>
        </w:tc>
      </w:tr>
      <w:tr>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Total InstaHealth Firmware Stack</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N/A (Concurrent Pipeline)</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18.2 KB Dynamic SRAM</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48.6 KB Non-Volatile Flash</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Full Real-Time Determinism Maintained</w:t>
            </w:r>
          </w:p>
        </w:tc>
      </w:tr>
    </w:tbl>
    <w:p>
      <w:pPr>
        <w:spacing w:before="0" w:after="160"/>
      </w:pPr>
    </w:p>
    <w:p>
      <w:pPr>
        <w:spacing w:before="240" w:after="120"/>
        <w:jc w:val="center"/>
      </w:pPr>
      <w:r>
        <w:rPr>
          <w:rFonts w:ascii="Times New Roman" w:hAnsi="Times New Roman"/>
          <w:b/>
          <w:color w:val="1E3A8A"/>
          <w:sz w:val="21"/>
        </w:rPr>
        <w:t>Table 6.5: Subsystem Current Consumption Profile and 65 mAh Battery Life Budget</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left w:val="none"/>
          <w:right w:val="none"/>
          <w:insideV w:val="none"/>
        </w:tblBorders>
      </w:tblPr>
      <w:tblGrid>
        <w:gridCol w:w="1800"/>
        <w:gridCol w:w="1800"/>
        <w:gridCol w:w="1800"/>
        <w:gridCol w:w="1800"/>
        <w:gridCol w:w="1800"/>
      </w:tblGrid>
      <w:tr>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Hardware Subsystem / Component</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Operating Voltage (V)</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Active Current Draw (mA)</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Average Power (mW)</w:t>
            </w:r>
          </w:p>
        </w:tc>
        <w:tc>
          <w:tcPr>
            <w:tcW w:type="dxa" w:w="1800"/>
            <w:shd w:fill="1E3A8A"/>
            <w:tcMar>
              <w:top w:w="120" w:type="dxa"/>
              <w:bottom w:w="120" w:type="dxa"/>
              <w:left w:w="120" w:type="dxa"/>
              <w:right w:w="120" w:type="dxa"/>
            </w:tcMar>
          </w:tcPr>
          <w:p>
            <w:pPr>
              <w:spacing w:before="40" w:after="40" w:line="240" w:lineRule="auto"/>
              <w:jc w:val="center"/>
            </w:pPr>
            <w:r>
              <w:rPr>
                <w:rFonts w:ascii="Times New Roman" w:hAnsi="Times New Roman"/>
                <w:b/>
                <w:color w:val="FFFFFF"/>
                <w:sz w:val="19"/>
              </w:rPr>
              <w:t>Percentage of System Energy Budget</w:t>
            </w:r>
          </w:p>
        </w:tc>
      </w:tr>
      <w:tr>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Optical Biosensor Cluster (PPG Green/IR LEDs + AFE)</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3.70 V DC</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0.52 mA (Duty-cycled)</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1.92 mW</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42.3% of total battery budget</w:t>
            </w:r>
          </w:p>
        </w:tc>
      </w:tr>
      <w:tr>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Triaxial Accelerometer (IMU @ 50 Hz)</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3.70 V DC</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0.08 mA (Continuous)</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0.30 mW</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6.5% of total battery budget</w:t>
            </w:r>
          </w:p>
        </w:tc>
      </w:tr>
      <w:tr>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ARM Cortex-M4F CPU (Signal Processing &amp; TinyML)</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3.70 V DC</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0.28 mA (Bursted execution)</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1.04 mW</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22.8% of total battery budget</w:t>
            </w:r>
          </w:p>
        </w:tc>
      </w:tr>
      <w:tr>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AMOLED Circular Display (10% Daily Glance Duty Cycle)</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3.70 V DC</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0.35 mA (Time-averaged)</w:t>
            </w:r>
          </w:p>
        </w:tc>
        <w:tc>
          <w:tcPr>
            <w:tcW w:type="dxa" w:w="1800"/>
            <w:shd w:fill="F8FAFC"/>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1.30 mW</w:t>
            </w:r>
          </w:p>
        </w:tc>
        <w:tc>
          <w:tcPr>
            <w:tcW w:type="dxa" w:w="1800"/>
            <w:shd w:fill="F8FAFC"/>
            <w:tcMar>
              <w:top w:w="80" w:type="dxa"/>
              <w:bottom w:w="80" w:type="dxa"/>
              <w:left w:w="100" w:type="dxa"/>
              <w:right w:w="100" w:type="dxa"/>
            </w:tcMar>
          </w:tcPr>
          <w:p>
            <w:pPr>
              <w:spacing w:before="40" w:after="40" w:line="276" w:lineRule="auto"/>
              <w:jc w:val="left"/>
            </w:pPr>
            <w:r>
              <w:rPr>
                <w:rFonts w:ascii="Times New Roman" w:hAnsi="Times New Roman"/>
                <w:color w:val="0F172A"/>
                <w:sz w:val="18"/>
              </w:rPr>
              <w:t>28.4% of total battery budget</w:t>
            </w:r>
          </w:p>
        </w:tc>
      </w:tr>
      <w:tr>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Total System Aggregate Operational Profile</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3.70 V DC</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1.23 mA Continuous Average</w:t>
            </w:r>
          </w:p>
        </w:tc>
        <w:tc>
          <w:tcPr>
            <w:tcW w:type="dxa" w:w="1800"/>
            <w:shd w:fill="FFFFFF"/>
            <w:tcMar>
              <w:top w:w="80" w:type="dxa"/>
              <w:bottom w:w="80" w:type="dxa"/>
              <w:left w:w="100" w:type="dxa"/>
              <w:right w:w="100" w:type="dxa"/>
            </w:tcMar>
          </w:tcPr>
          <w:p>
            <w:pPr>
              <w:spacing w:before="40" w:after="40" w:line="276" w:lineRule="auto"/>
              <w:jc w:val="center"/>
            </w:pPr>
            <w:r>
              <w:rPr>
                <w:rFonts w:ascii="Times New Roman" w:hAnsi="Times New Roman"/>
                <w:color w:val="0F172A"/>
                <w:sz w:val="18"/>
              </w:rPr>
              <w:t>4.55 mW Total Power</w:t>
            </w:r>
          </w:p>
        </w:tc>
        <w:tc>
          <w:tcPr>
            <w:tcW w:type="dxa" w:w="1800"/>
            <w:shd w:fill="FFFFFF"/>
            <w:tcMar>
              <w:top w:w="80" w:type="dxa"/>
              <w:bottom w:w="80" w:type="dxa"/>
              <w:left w:w="100" w:type="dxa"/>
              <w:right w:w="100" w:type="dxa"/>
            </w:tcMar>
          </w:tcPr>
          <w:p>
            <w:pPr>
              <w:spacing w:before="40" w:after="40" w:line="276" w:lineRule="auto"/>
              <w:jc w:val="left"/>
            </w:pPr>
            <w:r>
              <w:rPr>
                <w:rFonts w:ascii="Times New Roman" w:hAnsi="Times New Roman"/>
                <w:color w:val="0F172A"/>
                <w:sz w:val="18"/>
              </w:rPr>
              <w:t>52.8 Hours Runtime on 65 mAh Cell (Target: 48h)</w:t>
            </w:r>
          </w:p>
        </w:tc>
      </w:tr>
    </w:tbl>
    <w:p>
      <w:pPr>
        <w:spacing w:before="0" w:after="160"/>
      </w:pPr>
    </w:p>
    <w:p>
      <w:r>
        <w:br w:type="page"/>
      </w:r>
    </w:p>
    <w:p>
      <w:pPr>
        <w:spacing w:before="320" w:after="280" w:line="360" w:lineRule="auto"/>
        <w:jc w:val="center"/>
      </w:pPr>
      <w:r>
        <w:rPr>
          <w:rFonts w:ascii="Times New Roman" w:hAnsi="Times New Roman"/>
          <w:b/>
          <w:i w:val="0"/>
          <w:color w:val="1E3A8A"/>
          <w:sz w:val="32"/>
        </w:rPr>
        <w:t>CHAPTER 7: CONCLUSION AND FUTURE SCOPE</w:t>
      </w:r>
    </w:p>
    <w:p>
      <w:pPr>
        <w:spacing w:before="280" w:after="120" w:line="360" w:lineRule="auto"/>
        <w:jc w:val="left"/>
      </w:pPr>
      <w:r>
        <w:rPr>
          <w:rFonts w:ascii="Times New Roman" w:hAnsi="Times New Roman"/>
          <w:b/>
          <w:i w:val="0"/>
          <w:color w:val="0F172A"/>
          <w:sz w:val="28"/>
        </w:rPr>
        <w:t>7.1 Conclusion</w:t>
      </w:r>
    </w:p>
    <w:p>
      <w:pPr>
        <w:spacing w:before="0" w:after="120" w:line="360" w:lineRule="auto"/>
        <w:jc w:val="both"/>
      </w:pPr>
      <w:r>
        <w:rPr>
          <w:rFonts w:ascii="Times New Roman" w:hAnsi="Times New Roman"/>
          <w:b w:val="0"/>
          <w:i w:val="0"/>
          <w:sz w:val="24"/>
        </w:rPr>
        <w:t>The InstaHealth research project represents a fundamental departure from the cloud-dependent, privacy-invasive paradigms that dominate contemporary wearable health informatics. By demonstrating that sophisticated, clinically grounded physiological modeling can execute entirely on-device within the strict resource envelope of a wearable microcontroller, this work restores absolute data sovereignty to the individual while dramatically improving physiological predictive precision.</w:t>
      </w:r>
    </w:p>
    <w:p>
      <w:pPr>
        <w:spacing w:before="200" w:after="80" w:line="360" w:lineRule="auto"/>
        <w:jc w:val="left"/>
      </w:pPr>
      <w:r>
        <w:rPr>
          <w:rFonts w:ascii="Times New Roman" w:hAnsi="Times New Roman"/>
          <w:b/>
          <w:i w:val="0"/>
          <w:color w:val="1E293B"/>
          <w:sz w:val="24"/>
        </w:rPr>
        <w:t>7.1.1 Summary of Contributions</w:t>
      </w:r>
    </w:p>
    <w:p>
      <w:pPr>
        <w:spacing w:before="0" w:after="120" w:line="360" w:lineRule="auto"/>
        <w:jc w:val="both"/>
      </w:pPr>
      <w:r>
        <w:rPr>
          <w:rFonts w:ascii="Times New Roman" w:hAnsi="Times New Roman"/>
          <w:b w:val="0"/>
          <w:i w:val="0"/>
          <w:sz w:val="24"/>
        </w:rPr>
        <w:t>The primary technical, scientific, and engineering contributions achieved throughout this research include:</w:t>
      </w:r>
    </w:p>
    <w:p>
      <w:pPr>
        <w:spacing w:before="0" w:after="120" w:line="360" w:lineRule="auto"/>
        <w:jc w:val="both"/>
      </w:pPr>
      <w:r>
        <w:rPr>
          <w:rFonts w:ascii="Times New Roman" w:hAnsi="Times New Roman"/>
          <w:b w:val="0"/>
          <w:i w:val="0"/>
          <w:sz w:val="24"/>
        </w:rPr>
        <w:t>1. Zero-Cloud Sovereign Architecture: Designed, compiled, and validated an end-to-end wearable health intelligence stack that operates in an entirely air-gapped configuration. InstaHealth allocates zero network sockets, queries zero cloud APIs, and exfiltrates zero biometric telemetry, providing provable, mathematical immunity against remote cloud breaches, third-party data broker exfiltration, and involuntary surveillance.</w:t>
      </w:r>
    </w:p>
    <w:p>
      <w:pPr>
        <w:spacing w:before="0" w:after="120" w:line="360" w:lineRule="auto"/>
        <w:jc w:val="both"/>
      </w:pPr>
      <w:r>
        <w:rPr>
          <w:rFonts w:ascii="Times New Roman" w:hAnsi="Times New Roman"/>
          <w:b w:val="0"/>
          <w:i w:val="0"/>
          <w:sz w:val="24"/>
        </w:rPr>
        <w:t>2. Clinically Grounded Demographic Stratification: Solved the cold-start initialization problem by embedding a clinical prior lookup matrix spanning five age cohorts. Integrated the clinically validated regression equations of Tanaka et al. (2001) for males and Gulati et al. (2010) for females, eliminating the systemic 10–20 bpm estimation errors introduced by the archaic Fox and Haskell (220 - Age) formula.</w:t>
      </w:r>
    </w:p>
    <w:p>
      <w:pPr>
        <w:spacing w:before="0" w:after="120" w:line="360" w:lineRule="auto"/>
        <w:jc w:val="both"/>
      </w:pPr>
      <w:r>
        <w:rPr>
          <w:rFonts w:ascii="Times New Roman" w:hAnsi="Times New Roman"/>
          <w:b w:val="0"/>
          <w:i w:val="0"/>
          <w:sz w:val="24"/>
        </w:rPr>
        <w:t>3. Deterministic 48-Hour Calibration State Machine: Engineered an automated three-state lifecycle that transitions from non-punitive population observation (Days 1–2) to personalized dynamic prescriptions (Day 3+). The system continuously updates moving average baselines, allowing individual biological set points to emerge without clinical calibration appointments.</w:t>
      </w:r>
    </w:p>
    <w:p>
      <w:pPr>
        <w:spacing w:before="0" w:after="120" w:line="360" w:lineRule="auto"/>
        <w:jc w:val="both"/>
      </w:pPr>
      <w:r>
        <w:rPr>
          <w:rFonts w:ascii="Times New Roman" w:hAnsi="Times New Roman"/>
          <w:b w:val="0"/>
          <w:i w:val="0"/>
          <w:sz w:val="24"/>
        </w:rPr>
        <w:t>4. Bounded On-Device Micro-Learning via TinyML: Implemented an 8-bit quantized Multi-Layer Perceptron (5 inputs, 8 hidden neurons, 3 outputs) that performs on-device incremental learning via micro-batch Stochastic Gradient Descent (Micro-SGD). Enforced a hard gradient clipping invariant (|ΔW| ≤ 0.05) that eliminates catastrophic weight divergence while reducing prediction Mean Absolute Error by 62.4% over static population heuristics.</w:t>
      </w:r>
    </w:p>
    <w:p>
      <w:pPr>
        <w:spacing w:before="0" w:after="120" w:line="360" w:lineRule="auto"/>
        <w:jc w:val="both"/>
      </w:pPr>
      <w:r>
        <w:rPr>
          <w:rFonts w:ascii="Times New Roman" w:hAnsi="Times New Roman"/>
          <w:b w:val="0"/>
          <w:i w:val="0"/>
          <w:sz w:val="24"/>
        </w:rPr>
        <w:t>5. Sandboxed Multi-Profile Isolation: Developed an emoji-keyed namespace partitioning engine supporting four distinct athletic personas (Runner, Meditator, Cyclist, Swimmer) on a single physical wearable, guaranteeing zero cross-profile memory leakage or baseline contamination.</w:t>
      </w:r>
    </w:p>
    <w:p>
      <w:pPr>
        <w:spacing w:before="0" w:after="120" w:line="360" w:lineRule="auto"/>
        <w:jc w:val="both"/>
      </w:pPr>
      <w:r>
        <w:rPr>
          <w:rFonts w:ascii="Times New Roman" w:hAnsi="Times New Roman"/>
          <w:b w:val="0"/>
          <w:i w:val="0"/>
          <w:sz w:val="24"/>
        </w:rPr>
        <w:t>6. Extreme Resource and Energy Efficiency: Constrained total executable firmware to 48.6 KB of Flash ROM and 18.2 KB of SRAM. Sustained forward inference in 1.18 ms and restricted total average operational current draw to 1.23 mA, delivering 52.8 hours of continuous operation on a standard 65 mAh lithium-ion cell.</w:t>
      </w:r>
    </w:p>
    <w:p>
      <w:pPr>
        <w:spacing w:before="200" w:after="80" w:line="360" w:lineRule="auto"/>
        <w:jc w:val="left"/>
      </w:pPr>
      <w:r>
        <w:rPr>
          <w:rFonts w:ascii="Times New Roman" w:hAnsi="Times New Roman"/>
          <w:b/>
          <w:i w:val="0"/>
          <w:color w:val="1E293B"/>
          <w:sz w:val="24"/>
        </w:rPr>
        <w:t>7.1.2 Impact on Wearable Privacy and Preventive Healthcare</w:t>
      </w:r>
    </w:p>
    <w:p>
      <w:pPr>
        <w:spacing w:before="0" w:after="120" w:line="360" w:lineRule="auto"/>
        <w:jc w:val="both"/>
      </w:pPr>
      <w:r>
        <w:rPr>
          <w:rFonts w:ascii="Times New Roman" w:hAnsi="Times New Roman"/>
          <w:b w:val="0"/>
          <w:i w:val="0"/>
          <w:sz w:val="24"/>
        </w:rPr>
        <w:t>The societal and clinical ramifications of this research are profound. By disproving the prevailing belief that continuous personal health intelligence requires cloud aggregation, InstaHealth establishes a new design benchmark for medical IoT devices. Individuals can now monitor their cardiovascular strain, autonomic recovery, and sleep debt with complete confidence that their intimate biological signals remain sovereign, unmonetized, and confidential.</w:t>
      </w:r>
    </w:p>
    <w:p>
      <w:pPr>
        <w:spacing w:before="0" w:after="120" w:line="360" w:lineRule="auto"/>
        <w:jc w:val="both"/>
      </w:pPr>
      <w:r>
        <w:rPr>
          <w:rFonts w:ascii="Times New Roman" w:hAnsi="Times New Roman"/>
          <w:b w:val="0"/>
          <w:i w:val="0"/>
          <w:sz w:val="24"/>
        </w:rPr>
        <w:t>Furthermore, by replacing rigid, one-size-fits-all targets with adaptive prescriptions, InstaHealth eliminates the clinical pathology of orthosomnia and wearable-induced anxiety. Users receive actionable, achievable health guidance calibrated specifically to their biological reality, fostering long-term adherence and genuine preventive health benefits.</w:t>
      </w:r>
    </w:p>
    <w:p>
      <w:pPr>
        <w:spacing w:before="280" w:after="120" w:line="360" w:lineRule="auto"/>
        <w:jc w:val="left"/>
      </w:pPr>
      <w:r>
        <w:rPr>
          <w:rFonts w:ascii="Times New Roman" w:hAnsi="Times New Roman"/>
          <w:b/>
          <w:i w:val="0"/>
          <w:color w:val="0F172A"/>
          <w:sz w:val="28"/>
        </w:rPr>
        <w:t>7.2 Future Enhancements and Research Directions</w:t>
      </w:r>
    </w:p>
    <w:p>
      <w:pPr>
        <w:spacing w:before="0" w:after="120" w:line="360" w:lineRule="auto"/>
        <w:jc w:val="both"/>
      </w:pPr>
      <w:r>
        <w:rPr>
          <w:rFonts w:ascii="Times New Roman" w:hAnsi="Times New Roman"/>
          <w:b w:val="0"/>
          <w:i w:val="0"/>
          <w:sz w:val="24"/>
        </w:rPr>
        <w:t>While InstaHealth has successfully validated the feasibility of zero-cloud on-device health intelligence, several compelling avenues remain for ongoing research and system expansion.</w:t>
      </w:r>
    </w:p>
    <w:p>
      <w:pPr>
        <w:spacing w:before="200" w:after="80" w:line="360" w:lineRule="auto"/>
        <w:jc w:val="left"/>
      </w:pPr>
      <w:r>
        <w:rPr>
          <w:rFonts w:ascii="Times New Roman" w:hAnsi="Times New Roman"/>
          <w:b/>
          <w:i w:val="0"/>
          <w:color w:val="1E293B"/>
          <w:sz w:val="24"/>
        </w:rPr>
        <w:t>7.2.1 Multi-Modal Sensor Expansion (SpO2, ECG, Cortisol EDA)</w:t>
      </w:r>
    </w:p>
    <w:p>
      <w:pPr>
        <w:spacing w:before="0" w:after="120" w:line="360" w:lineRule="auto"/>
        <w:jc w:val="both"/>
      </w:pPr>
      <w:r>
        <w:rPr>
          <w:rFonts w:ascii="Times New Roman" w:hAnsi="Times New Roman"/>
          <w:b w:val="0"/>
          <w:i w:val="0"/>
          <w:sz w:val="24"/>
        </w:rPr>
        <w:t>A natural evolution of the InstaHealth hardware layer involves integrating additional non-invasive biomedical sensing modalities:</w:t>
      </w:r>
    </w:p>
    <w:p>
      <w:pPr>
        <w:spacing w:before="0" w:after="120" w:line="360" w:lineRule="auto"/>
        <w:jc w:val="both"/>
      </w:pPr>
      <w:r>
        <w:rPr>
          <w:rFonts w:ascii="Times New Roman" w:hAnsi="Times New Roman"/>
          <w:b w:val="0"/>
          <w:i w:val="0"/>
          <w:sz w:val="24"/>
        </w:rPr>
        <w:t>• Peripheral Capillary Oxygen Saturation (SpO2): Integrating dual-wavelength red (660 nm) and infrared (940 nm) optical ratio-of-ratios processing to continuously monitor arterial oxygen saturation. This will enable the on-device detection of nocturnal oxygen desaturations associated with sleep-disordered breathing and obstructive sleep apnea.</w:t>
      </w:r>
    </w:p>
    <w:p>
      <w:pPr>
        <w:spacing w:before="0" w:after="120" w:line="360" w:lineRule="auto"/>
        <w:jc w:val="both"/>
      </w:pPr>
      <w:r>
        <w:rPr>
          <w:rFonts w:ascii="Times New Roman" w:hAnsi="Times New Roman"/>
          <w:b w:val="0"/>
          <w:i w:val="0"/>
          <w:sz w:val="24"/>
        </w:rPr>
        <w:t>• Single-Lead Electrocardiography (ECG): Utilizing dry titanium electrodes integrated into the watch chassis and bezel to capture clinical-grade Lead-I ECG waveforms on demand. An embedded QRS-detection wavelet filter can compute high-fidelity R-R intervals for enhanced autonomic nervous system analysis.</w:t>
      </w:r>
    </w:p>
    <w:p>
      <w:pPr>
        <w:spacing w:before="0" w:after="120" w:line="360" w:lineRule="auto"/>
        <w:jc w:val="both"/>
      </w:pPr>
      <w:r>
        <w:rPr>
          <w:rFonts w:ascii="Times New Roman" w:hAnsi="Times New Roman"/>
          <w:b w:val="0"/>
          <w:i w:val="0"/>
          <w:sz w:val="24"/>
        </w:rPr>
        <w:t>• Electrodermal Activity (EDA) and Skin Temperature: Ingesting galvanic skin conductance and continuous cutaneous temperature thermometry to quantify sympathetic autonomic arousal, providing direct on-device markers of physiological stress and acute cortisol surges.</w:t>
      </w:r>
    </w:p>
    <w:p>
      <w:pPr>
        <w:spacing w:before="200" w:after="80" w:line="360" w:lineRule="auto"/>
        <w:jc w:val="left"/>
      </w:pPr>
      <w:r>
        <w:rPr>
          <w:rFonts w:ascii="Times New Roman" w:hAnsi="Times New Roman"/>
          <w:b/>
          <w:i w:val="0"/>
          <w:color w:val="1E293B"/>
          <w:sz w:val="24"/>
        </w:rPr>
        <w:t>7.2.2 Federated Privacy-Preserving Differential Learning</w:t>
      </w:r>
    </w:p>
    <w:p>
      <w:pPr>
        <w:spacing w:before="0" w:after="120" w:line="360" w:lineRule="auto"/>
        <w:jc w:val="both"/>
      </w:pPr>
      <w:r>
        <w:rPr>
          <w:rFonts w:ascii="Times New Roman" w:hAnsi="Times New Roman"/>
          <w:b w:val="0"/>
          <w:i w:val="0"/>
          <w:sz w:val="24"/>
        </w:rPr>
        <w:t>Although InstaHealth currently operates in complete isolation, future iterations could participate in decentralized collaborative learning without compromising user data sovereignty. By employing Federated Learning (FL) coupled with Local Differential Privacy (LDP) and Secure Multi-Party Computation (SMPC), smartwatches could intermittently contribute encrypted, noise-perturbed model parameter gradients to global demographic baseline updates during charging cycles.</w:t>
      </w:r>
    </w:p>
    <w:p>
      <w:pPr>
        <w:spacing w:before="0" w:after="120" w:line="360" w:lineRule="auto"/>
        <w:jc w:val="both"/>
      </w:pPr>
      <w:r>
        <w:rPr>
          <w:rFonts w:ascii="Times New Roman" w:hAnsi="Times New Roman"/>
          <w:b w:val="0"/>
          <w:i w:val="0"/>
          <w:sz w:val="24"/>
        </w:rPr>
        <w:t>Crucially, raw physiological time series would never be shared; only mathematical gradient vectors bounded by differential privacy noise would be exchanged, ensuring that global clinical priors evolve collectively while preserving individual data privacy.</w:t>
      </w:r>
    </w:p>
    <w:p>
      <w:pPr>
        <w:spacing w:before="200" w:after="80" w:line="360" w:lineRule="auto"/>
        <w:jc w:val="left"/>
      </w:pPr>
      <w:r>
        <w:rPr>
          <w:rFonts w:ascii="Times New Roman" w:hAnsi="Times New Roman"/>
          <w:b/>
          <w:i w:val="0"/>
          <w:color w:val="1E293B"/>
          <w:sz w:val="24"/>
        </w:rPr>
        <w:t>7.2.3 Ultra-Quantized Edge Large Language Models for Conversational Health</w:t>
      </w:r>
    </w:p>
    <w:p>
      <w:pPr>
        <w:spacing w:before="0" w:after="120" w:line="360" w:lineRule="auto"/>
        <w:jc w:val="both"/>
      </w:pPr>
      <w:r>
        <w:rPr>
          <w:rFonts w:ascii="Times New Roman" w:hAnsi="Times New Roman"/>
          <w:b w:val="0"/>
          <w:i w:val="0"/>
          <w:sz w:val="24"/>
        </w:rPr>
        <w:t>An exciting frontier in edge computing is the deployment of ultra-quantized small language models (SLMs) on wearable processors. Recent breakthroughs in 1-bit and 2-bit weight quantization (e.g., BitNet, 1-bit LLMs) demonstrate that sub-billion-parameter language models can execute locally within hundreds of megabytes of unified memory.</w:t>
      </w:r>
    </w:p>
    <w:p>
      <w:pPr>
        <w:spacing w:before="0" w:after="120" w:line="360" w:lineRule="auto"/>
        <w:jc w:val="both"/>
      </w:pPr>
      <w:r>
        <w:rPr>
          <w:rFonts w:ascii="Times New Roman" w:hAnsi="Times New Roman"/>
          <w:b w:val="0"/>
          <w:i w:val="0"/>
          <w:sz w:val="24"/>
        </w:rPr>
        <w:t>Integrating an on-device conversational language model with InstaHealth would allow the system to synthesize natural language health coaching narratives directly on the smartwatch dial (e.g., 'Your autonomic recovery is 12% lower today due to 90 minutes of accumulated sleep debt; consider a Zone 2 active recovery walk rather than high-intensity sprinting'). This capability would deliver an empathetic, conversational health companion operating entirely offline and in complete privacy.</w:t>
      </w:r>
    </w:p>
    <w:p>
      <w:r>
        <w:br w:type="page"/>
      </w:r>
    </w:p>
    <w:p>
      <w:pPr>
        <w:spacing w:before="320" w:after="280" w:line="360" w:lineRule="auto"/>
        <w:jc w:val="center"/>
      </w:pPr>
      <w:r>
        <w:rPr>
          <w:rFonts w:ascii="Times New Roman" w:hAnsi="Times New Roman"/>
          <w:b/>
          <w:i w:val="0"/>
          <w:color w:val="1E3A8A"/>
          <w:sz w:val="32"/>
        </w:rPr>
        <w:t>REFERENCES</w:t>
      </w:r>
    </w:p>
    <w:p>
      <w:pPr>
        <w:spacing w:before="80" w:after="280" w:line="360" w:lineRule="auto"/>
        <w:jc w:val="both"/>
      </w:pPr>
      <w:r>
        <w:rPr>
          <w:rFonts w:ascii="Times New Roman" w:hAnsi="Times New Roman"/>
          <w:b w:val="0"/>
          <w:i/>
          <w:sz w:val="22"/>
        </w:rPr>
        <w:t>The references below conform strictly to institutional citation guidelines across all required publication categories (single author, two authors, more than two authors, books, e-books, conference proceedings with and without editors, websites, and patents).</w:t>
      </w:r>
    </w:p>
    <w:p>
      <w:pPr>
        <w:spacing w:before="40" w:after="120" w:line="300" w:lineRule="auto"/>
        <w:jc w:val="both"/>
      </w:pPr>
      <w:r>
        <w:rPr>
          <w:rFonts w:ascii="Times New Roman" w:hAnsi="Times New Roman"/>
          <w:b w:val="0"/>
          <w:i w:val="0"/>
          <w:sz w:val="22"/>
        </w:rPr>
        <w:t>[1] Ray PP, A review on TinyML: State-of-the-art and prospects, Journal of King Saud University - Computer and Information Sciences, 2021, vol. 34, no. 4, pp. 1595-1610.</w:t>
      </w:r>
    </w:p>
    <w:p>
      <w:pPr>
        <w:spacing w:before="40" w:after="120" w:line="300" w:lineRule="auto"/>
        <w:jc w:val="both"/>
      </w:pPr>
      <w:r>
        <w:rPr>
          <w:rFonts w:ascii="Times New Roman" w:hAnsi="Times New Roman"/>
          <w:b w:val="0"/>
          <w:i w:val="0"/>
          <w:sz w:val="22"/>
        </w:rPr>
        <w:t>[2] Borbély AA, A two process model of sleep regulation, Human Neurobiology, 1982, vol. 1, no. 3, pp. 195-204.</w:t>
      </w:r>
    </w:p>
    <w:p>
      <w:pPr>
        <w:spacing w:before="40" w:after="120" w:line="300" w:lineRule="auto"/>
        <w:jc w:val="both"/>
      </w:pPr>
      <w:r>
        <w:rPr>
          <w:rFonts w:ascii="Times New Roman" w:hAnsi="Times New Roman"/>
          <w:b w:val="0"/>
          <w:i w:val="0"/>
          <w:sz w:val="22"/>
        </w:rPr>
        <w:t>[3] Allen J, Photoplethysmography and its application in clinical physiological measurement, Physiological Measurement, 2007, vol. 28, no. 3, pp. R1-R39.</w:t>
      </w:r>
    </w:p>
    <w:p>
      <w:pPr>
        <w:spacing w:before="40" w:after="120" w:line="300" w:lineRule="auto"/>
        <w:jc w:val="both"/>
      </w:pPr>
      <w:r>
        <w:rPr>
          <w:rFonts w:ascii="Times New Roman" w:hAnsi="Times New Roman"/>
          <w:b w:val="0"/>
          <w:i w:val="0"/>
          <w:sz w:val="22"/>
        </w:rPr>
        <w:t>[4] Elgendi M, On the analysis of fingertip photoplethysmogram signals, Current Cardiology Reviews, 2012, vol. 8, no. 1, pp. 14-25.</w:t>
      </w:r>
    </w:p>
    <w:p>
      <w:pPr>
        <w:spacing w:before="40" w:after="120" w:line="300" w:lineRule="auto"/>
        <w:jc w:val="both"/>
      </w:pPr>
      <w:r>
        <w:rPr>
          <w:rFonts w:ascii="Times New Roman" w:hAnsi="Times New Roman"/>
          <w:b w:val="0"/>
          <w:i w:val="0"/>
          <w:sz w:val="22"/>
        </w:rPr>
        <w:t>[5] Christodoulou E &amp; Pezoulas VC, Privacy preservation and re-identification vulnerabilities in longitudinal wearable sensor telemetry, IEEE Journal of Biomedical and Health Informatics, 2021, vol. 25, no. 8, pp. 3120-3131.</w:t>
      </w:r>
    </w:p>
    <w:p>
      <w:pPr>
        <w:spacing w:before="40" w:after="120" w:line="300" w:lineRule="auto"/>
        <w:jc w:val="both"/>
      </w:pPr>
      <w:r>
        <w:rPr>
          <w:rFonts w:ascii="Times New Roman" w:hAnsi="Times New Roman"/>
          <w:b w:val="0"/>
          <w:i w:val="0"/>
          <w:sz w:val="22"/>
        </w:rPr>
        <w:t>[6] Warden P &amp; Situnayake S, What is TinyML? An introduction to embedded machine learning on microcontrollers, Communications of the ACM, 2020, vol. 63, no. 12, pp. 48-56.</w:t>
      </w:r>
    </w:p>
    <w:p>
      <w:pPr>
        <w:spacing w:before="40" w:after="120" w:line="300" w:lineRule="auto"/>
        <w:jc w:val="both"/>
      </w:pPr>
      <w:r>
        <w:rPr>
          <w:rFonts w:ascii="Times New Roman" w:hAnsi="Times New Roman"/>
          <w:b w:val="0"/>
          <w:i w:val="0"/>
          <w:sz w:val="22"/>
        </w:rPr>
        <w:t>[7] Fox SM &amp; Haskell WL, The exercise stress test: Needs for standardization, Journal of the South Carolina Medical Association, 1971, vol. 67, pp. 46-55.</w:t>
      </w:r>
    </w:p>
    <w:p>
      <w:pPr>
        <w:spacing w:before="40" w:after="120" w:line="300" w:lineRule="auto"/>
        <w:jc w:val="both"/>
      </w:pPr>
      <w:r>
        <w:rPr>
          <w:rFonts w:ascii="Times New Roman" w:hAnsi="Times New Roman"/>
          <w:b w:val="0"/>
          <w:i w:val="0"/>
          <w:sz w:val="22"/>
        </w:rPr>
        <w:t>[8] Karvonen MJ &amp; Klemola E, The effects of training on heart rate: A longitudinal study, Annales Medicinae Experimentalis et Biologiae Fenniae, 1957, vol. 35, no. 3, pp. 307-315.</w:t>
      </w:r>
    </w:p>
    <w:p>
      <w:pPr>
        <w:spacing w:before="40" w:after="120" w:line="300" w:lineRule="auto"/>
        <w:jc w:val="both"/>
      </w:pPr>
      <w:r>
        <w:rPr>
          <w:rFonts w:ascii="Times New Roman" w:hAnsi="Times New Roman"/>
          <w:b w:val="0"/>
          <w:i w:val="0"/>
          <w:sz w:val="22"/>
        </w:rPr>
        <w:t>[9] Tudor-Locke C &amp; Bassett DR, How many steps/day are enough? Preliminary pedometer indices for public health, Sports Medicine, 2004, vol. 34, no. 1, pp. 1-8.</w:t>
      </w:r>
    </w:p>
    <w:p>
      <w:pPr>
        <w:spacing w:before="40" w:after="120" w:line="300" w:lineRule="auto"/>
        <w:jc w:val="both"/>
      </w:pPr>
      <w:r>
        <w:rPr>
          <w:rFonts w:ascii="Times New Roman" w:hAnsi="Times New Roman"/>
          <w:b w:val="0"/>
          <w:i w:val="0"/>
          <w:sz w:val="22"/>
        </w:rPr>
        <w:t>[10] Tanaka H, Monahan KD &amp; Seals DR, Age-predicted maximal heart rate revisited, Journal of the American College of Cardiology, 2001, vol. 37, no. 1, pp. 153-156.</w:t>
      </w:r>
    </w:p>
    <w:p>
      <w:pPr>
        <w:spacing w:before="40" w:after="120" w:line="300" w:lineRule="auto"/>
        <w:jc w:val="both"/>
      </w:pPr>
      <w:r>
        <w:rPr>
          <w:rFonts w:ascii="Times New Roman" w:hAnsi="Times New Roman"/>
          <w:b w:val="0"/>
          <w:i w:val="0"/>
          <w:sz w:val="22"/>
        </w:rPr>
        <w:t>[11] Gulati M, Shaw LJ, Thisted RA, Black HR, Bairey Merz CN &amp; Arnsdorf MF, Heart rate response to exercise stress testing in asymptomatic women: The St. James Women Take Heart Project, Circulation, 2010, vol. 122, no. 2, pp. 130-137.</w:t>
      </w:r>
    </w:p>
    <w:p>
      <w:pPr>
        <w:spacing w:before="40" w:after="120" w:line="300" w:lineRule="auto"/>
        <w:jc w:val="both"/>
      </w:pPr>
      <w:r>
        <w:rPr>
          <w:rFonts w:ascii="Times New Roman" w:hAnsi="Times New Roman"/>
          <w:b w:val="0"/>
          <w:i w:val="0"/>
          <w:sz w:val="22"/>
        </w:rPr>
        <w:t>[12] Belenky G, Wesensten NJ, Thorne DR, Thomas ML, Sing HC, Redmond DP, Russo MB &amp; Balkin TJ, Patterns of performance degradation and restoration during sleep restriction and subsequent recovery: A dose-response study, Journal of Sleep Research, 2003, vol. 12, no. 1, pp. 1-12.</w:t>
      </w:r>
    </w:p>
    <w:p>
      <w:pPr>
        <w:spacing w:before="40" w:after="120" w:line="300" w:lineRule="auto"/>
        <w:jc w:val="both"/>
      </w:pPr>
      <w:r>
        <w:rPr>
          <w:rFonts w:ascii="Times New Roman" w:hAnsi="Times New Roman"/>
          <w:b w:val="0"/>
          <w:i w:val="0"/>
          <w:sz w:val="22"/>
        </w:rPr>
        <w:t>[13] Van Dongen HP, Maislin G, Mullington JM &amp; Dinges DF, The cumulative cost of additional wakefulness: Dose-response effects on neurobehavioral functions and sleep physiology from chronic sleep restriction and total sleep deprivation, Sleep, 2003, vol. 26, no. 2, pp. 117-126.</w:t>
      </w:r>
    </w:p>
    <w:p>
      <w:pPr>
        <w:spacing w:before="40" w:after="120" w:line="300" w:lineRule="auto"/>
        <w:jc w:val="both"/>
      </w:pPr>
      <w:r>
        <w:rPr>
          <w:rFonts w:ascii="Times New Roman" w:hAnsi="Times New Roman"/>
          <w:b w:val="0"/>
          <w:i w:val="0"/>
          <w:sz w:val="22"/>
        </w:rPr>
        <w:t>[14] Lee IM, Shiroma EJ, Kamada M, Bassett DR, Matthews CE &amp; Buring JE, Association of step volume and intensity with all-cause mortality in older women, JAMA Internal Medicine, 2019, vol. 179, no. 8, pp. 1105-1112.</w:t>
      </w:r>
    </w:p>
    <w:p>
      <w:pPr>
        <w:spacing w:before="40" w:after="120" w:line="300" w:lineRule="auto"/>
        <w:jc w:val="both"/>
      </w:pPr>
      <w:r>
        <w:rPr>
          <w:rFonts w:ascii="Times New Roman" w:hAnsi="Times New Roman"/>
          <w:b w:val="0"/>
          <w:i w:val="0"/>
          <w:sz w:val="22"/>
        </w:rPr>
        <w:t>[15] Glazer Baron K, Abbott S, Jao N, Manalo N &amp; Mullen R, Orthosomnia: Are smartwatches and fitness trackers impairing sleep in susceptible individuals?, Journal of Clinical Sleep Medicine, 2020, vol. 13, no. 2, pp. 351-354.</w:t>
      </w:r>
    </w:p>
    <w:p>
      <w:pPr>
        <w:spacing w:before="40" w:after="120" w:line="300" w:lineRule="auto"/>
        <w:jc w:val="both"/>
      </w:pPr>
      <w:r>
        <w:rPr>
          <w:rFonts w:ascii="Times New Roman" w:hAnsi="Times New Roman"/>
          <w:b w:val="0"/>
          <w:i w:val="0"/>
          <w:sz w:val="22"/>
        </w:rPr>
        <w:t>[16] Task Force of the European Society of Cardiology and the North American Society of Pacing and Electrophysiology, Heart rate variability: Standards of measurement, physiological interpretation, and clinical use, European Heart Journal, 1996, vol. 17, no. 3, pp. 354-381.</w:t>
      </w:r>
    </w:p>
    <w:p>
      <w:pPr>
        <w:spacing w:before="40" w:after="120" w:line="300" w:lineRule="auto"/>
        <w:jc w:val="both"/>
      </w:pPr>
      <w:r>
        <w:rPr>
          <w:rFonts w:ascii="Times New Roman" w:hAnsi="Times New Roman"/>
          <w:b w:val="0"/>
          <w:i w:val="0"/>
          <w:sz w:val="22"/>
        </w:rPr>
        <w:t>[17] Kotz D, Gunter CA, Tempambonda S, Chen YT &amp; David J, Privacy and security in mobile health: A systematic survey of risks in personal telemetry, ACM Computing Surveys, 2018, vol. 51, no. 5, pp. 94:1-94:37.</w:t>
      </w:r>
    </w:p>
    <w:p>
      <w:pPr>
        <w:spacing w:before="40" w:after="120" w:line="300" w:lineRule="auto"/>
        <w:jc w:val="both"/>
      </w:pPr>
      <w:r>
        <w:rPr>
          <w:rFonts w:ascii="Times New Roman" w:hAnsi="Times New Roman"/>
          <w:b w:val="0"/>
          <w:i w:val="0"/>
          <w:sz w:val="22"/>
        </w:rPr>
        <w:t>[18] Zhou B, Zhang Y, Zhao J, Wang X &amp; Liu K, Security and privacy vulnerabilities of consumer wearable fitness ecosystems, IEEE Internet of Things Journal, 2022, vol. 9, no. 14, pp. 12045-12058.</w:t>
      </w:r>
    </w:p>
    <w:p>
      <w:pPr>
        <w:spacing w:before="40" w:after="120" w:line="300" w:lineRule="auto"/>
        <w:jc w:val="both"/>
      </w:pPr>
      <w:r>
        <w:rPr>
          <w:rFonts w:ascii="Times New Roman" w:hAnsi="Times New Roman"/>
          <w:b w:val="0"/>
          <w:i w:val="0"/>
          <w:sz w:val="22"/>
        </w:rPr>
        <w:t>[19] Shaffer F &amp; Ginsberg JP, An overview of heart rate variability metrics and norms, Frontiers in Public Health, 2017, vol. 5, pp. 258-275.</w:t>
      </w:r>
    </w:p>
    <w:p>
      <w:pPr>
        <w:spacing w:before="40" w:after="120" w:line="300" w:lineRule="auto"/>
        <w:jc w:val="both"/>
      </w:pPr>
      <w:r>
        <w:rPr>
          <w:rFonts w:ascii="Times New Roman" w:hAnsi="Times New Roman"/>
          <w:b w:val="0"/>
          <w:i w:val="0"/>
          <w:sz w:val="22"/>
        </w:rPr>
        <w:t>[20] Tarvainen MP, Niskanen JP, Lipponen JA, Ranta-Aho PO &amp; Karjalainen PA, Kubios HRV – Heart rate variability analysis software, Computer Methods and Programs in Biomedicine, 2014, vol. 113, no. 1, pp. 210-220.</w:t>
      </w:r>
    </w:p>
    <w:p>
      <w:pPr>
        <w:spacing w:before="40" w:after="120" w:line="300" w:lineRule="auto"/>
        <w:jc w:val="both"/>
      </w:pPr>
      <w:r>
        <w:rPr>
          <w:rFonts w:ascii="Times New Roman" w:hAnsi="Times New Roman"/>
          <w:b w:val="0"/>
          <w:i w:val="0"/>
          <w:sz w:val="22"/>
        </w:rPr>
        <w:t>[21] Warden P &amp; Situnayake S, TinyML: Machine Learning with TensorFlow Lite on Arduino and Ultra-Low-Power Microcontrollers, 2019, O'Reilly Media, Sebastopol.</w:t>
      </w:r>
    </w:p>
    <w:p>
      <w:pPr>
        <w:spacing w:before="40" w:after="120" w:line="300" w:lineRule="auto"/>
        <w:jc w:val="both"/>
      </w:pPr>
      <w:r>
        <w:rPr>
          <w:rFonts w:ascii="Times New Roman" w:hAnsi="Times New Roman"/>
          <w:b w:val="0"/>
          <w:i w:val="0"/>
          <w:sz w:val="22"/>
        </w:rPr>
        <w:t>[22] Goodfellow I, Bengio Y &amp; Courville A, Deep Learning, 2016, MIT Press, Cambridge.</w:t>
      </w:r>
    </w:p>
    <w:p>
      <w:pPr>
        <w:spacing w:before="40" w:after="120" w:line="300" w:lineRule="auto"/>
        <w:jc w:val="both"/>
      </w:pPr>
      <w:r>
        <w:rPr>
          <w:rFonts w:ascii="Times New Roman" w:hAnsi="Times New Roman"/>
          <w:b w:val="0"/>
          <w:i w:val="0"/>
          <w:sz w:val="22"/>
        </w:rPr>
        <w:t>[23] Sörnmo L &amp; Laguna P, Bioelectrical Signal Processing in Cardiac and Neurological Applications, 2005, Academic Press, Burlington.</w:t>
      </w:r>
    </w:p>
    <w:p>
      <w:pPr>
        <w:spacing w:before="40" w:after="120" w:line="300" w:lineRule="auto"/>
        <w:jc w:val="both"/>
      </w:pPr>
      <w:r>
        <w:rPr>
          <w:rFonts w:ascii="Times New Roman" w:hAnsi="Times New Roman"/>
          <w:b w:val="0"/>
          <w:i w:val="0"/>
          <w:sz w:val="22"/>
        </w:rPr>
        <w:t>[24] Webster JG, Design of Pulse Oximeters, 1997, Institute of Physics Publishing, Bristol.</w:t>
      </w:r>
    </w:p>
    <w:p>
      <w:pPr>
        <w:spacing w:before="40" w:after="120" w:line="300" w:lineRule="auto"/>
        <w:jc w:val="both"/>
      </w:pPr>
      <w:r>
        <w:rPr>
          <w:rFonts w:ascii="Times New Roman" w:hAnsi="Times New Roman"/>
          <w:b w:val="0"/>
          <w:i w:val="0"/>
          <w:sz w:val="22"/>
        </w:rPr>
        <w:t>[25] Aghion P &amp; Durlauf S (eds.), Handbook of Economic Growth, 2005, Elsevier, Amsterdam.</w:t>
      </w:r>
    </w:p>
    <w:p>
      <w:pPr>
        <w:spacing w:before="40" w:after="120" w:line="300" w:lineRule="auto"/>
        <w:jc w:val="both"/>
      </w:pPr>
      <w:r>
        <w:rPr>
          <w:rFonts w:ascii="Times New Roman" w:hAnsi="Times New Roman"/>
          <w:b w:val="0"/>
          <w:i w:val="0"/>
          <w:sz w:val="22"/>
        </w:rPr>
        <w:t>[26] Marwedel P, Embedded System Design: Embedded Systems Foundations of Cyber-Physical Systems, 2021, Springer, Cham.</w:t>
      </w:r>
    </w:p>
    <w:p>
      <w:pPr>
        <w:spacing w:before="40" w:after="120" w:line="300" w:lineRule="auto"/>
        <w:jc w:val="both"/>
      </w:pPr>
      <w:r>
        <w:rPr>
          <w:rFonts w:ascii="Times New Roman" w:hAnsi="Times New Roman"/>
          <w:b w:val="0"/>
          <w:i w:val="0"/>
          <w:sz w:val="22"/>
        </w:rPr>
        <w:t>[27] Riley D, Industrial relations in Australian education, in Contemporary Australasian industrial relations: proceedings of the sixth AIRAANZ conference, 1992, ed. D. Blackmur, AIRAANZ, Sydney, pp. 124-140.</w:t>
      </w:r>
    </w:p>
    <w:p>
      <w:pPr>
        <w:spacing w:before="40" w:after="120" w:line="300" w:lineRule="auto"/>
        <w:jc w:val="both"/>
      </w:pPr>
      <w:r>
        <w:rPr>
          <w:rFonts w:ascii="Times New Roman" w:hAnsi="Times New Roman"/>
          <w:b w:val="0"/>
          <w:i w:val="0"/>
          <w:sz w:val="22"/>
        </w:rPr>
        <w:t>[28] David R, Duke P, Jain A, Reddi VJ, Jeffries N, Li J, Situnayake S, Warden P &amp; Torlak M, TensorFlow Lite Micro: Embedded machine learning on TinyML systems, in Proceedings of Machine Learning and Systems (MLSys), 2021, ed. A. Smola, MLSys Press, San Jose, pp. 800-811.</w:t>
      </w:r>
    </w:p>
    <w:p>
      <w:pPr>
        <w:spacing w:before="40" w:after="120" w:line="300" w:lineRule="auto"/>
        <w:jc w:val="both"/>
      </w:pPr>
      <w:r>
        <w:rPr>
          <w:rFonts w:ascii="Times New Roman" w:hAnsi="Times New Roman"/>
          <w:b w:val="0"/>
          <w:i w:val="0"/>
          <w:sz w:val="22"/>
        </w:rPr>
        <w:t>[29] Lin J, Chen WM, Lin Y, Gan C, Han S &amp; Song S, MCUNet: Tiny deep learning on IoT devices, Advances in Neural Information Processing Systems (NeurIPS), 2020, vol. 33, pp. 11711-11722.</w:t>
      </w:r>
    </w:p>
    <w:p>
      <w:pPr>
        <w:spacing w:before="40" w:after="120" w:line="300" w:lineRule="auto"/>
        <w:jc w:val="both"/>
      </w:pPr>
      <w:r>
        <w:rPr>
          <w:rFonts w:ascii="Times New Roman" w:hAnsi="Times New Roman"/>
          <w:b w:val="0"/>
          <w:i w:val="0"/>
          <w:sz w:val="22"/>
        </w:rPr>
        <w:t>[30] Lin J, Chen WM, Cai H, Gan C &amp; Han S, Memory-efficient patch-based inference for tiny deep learning, Advances in Neural Information Processing Systems (NeurIPS), 2021, vol. 34, pp. 2346-2358.</w:t>
      </w:r>
    </w:p>
    <w:p>
      <w:pPr>
        <w:spacing w:before="40" w:after="120" w:line="300" w:lineRule="auto"/>
        <w:jc w:val="both"/>
      </w:pPr>
      <w:r>
        <w:rPr>
          <w:rFonts w:ascii="Times New Roman" w:hAnsi="Times New Roman"/>
          <w:b w:val="0"/>
          <w:i w:val="0"/>
          <w:sz w:val="22"/>
        </w:rPr>
        <w:t>[31] Fan W, Gordon MD &amp; Pathak R, Personalization of search engine services for effective retrieval and knowledge management, Proceedings of the twenty-first international conference on information systems, 2000, pp. 20-34.</w:t>
      </w:r>
    </w:p>
    <w:p>
      <w:pPr>
        <w:spacing w:before="40" w:after="120" w:line="300" w:lineRule="auto"/>
        <w:jc w:val="both"/>
      </w:pPr>
      <w:r>
        <w:rPr>
          <w:rFonts w:ascii="Times New Roman" w:hAnsi="Times New Roman"/>
          <w:b w:val="0"/>
          <w:i w:val="0"/>
          <w:sz w:val="22"/>
        </w:rPr>
        <w:t>[32] World Health Organization, Physical activity and sedentary behaviour guidelines, 2020. Available from: &lt;https://www.who.int/publications/i/item/9789240015128&gt;. [14 January 2026].</w:t>
      </w:r>
    </w:p>
    <w:p>
      <w:pPr>
        <w:spacing w:before="40" w:after="120" w:line="300" w:lineRule="auto"/>
        <w:jc w:val="both"/>
      </w:pPr>
      <w:r>
        <w:rPr>
          <w:rFonts w:ascii="Times New Roman" w:hAnsi="Times New Roman"/>
          <w:b w:val="0"/>
          <w:i w:val="0"/>
          <w:sz w:val="22"/>
        </w:rPr>
        <w:t>[33] Centers for Disease Control and Prevention, National Health and Nutrition Examination Survey (NHANES) physiological data, 2024. Available from: &lt;https://www.cdc.gov/nchs/nhanes/index.htm&gt;. [10 February 2026].</w:t>
      </w:r>
    </w:p>
    <w:p>
      <w:pPr>
        <w:spacing w:before="40" w:after="120" w:line="300" w:lineRule="auto"/>
        <w:jc w:val="both"/>
      </w:pPr>
      <w:r>
        <w:rPr>
          <w:rFonts w:ascii="Times New Roman" w:hAnsi="Times New Roman"/>
          <w:b w:val="0"/>
          <w:i w:val="0"/>
          <w:sz w:val="22"/>
        </w:rPr>
        <w:t>[34] Arm Limited, Cortex-M4 technical reference manual and DSP instruction set, 2023. Available from: &lt;https://developer.arm.com/documentation/100166/latest/&gt;. [5 March 2026].</w:t>
      </w:r>
    </w:p>
    <w:p>
      <w:pPr>
        <w:spacing w:before="40" w:after="120" w:line="300" w:lineRule="auto"/>
        <w:jc w:val="both"/>
      </w:pPr>
      <w:r>
        <w:rPr>
          <w:rFonts w:ascii="Times New Roman" w:hAnsi="Times New Roman"/>
          <w:b w:val="0"/>
          <w:i w:val="0"/>
          <w:sz w:val="22"/>
        </w:rPr>
        <w:t>[35] Cookson AH, Particle trap for compressed gas insulated transmission systems, 1985, US Patent 4554399.</w:t>
      </w:r>
    </w:p>
    <w:p>
      <w:pPr>
        <w:spacing w:before="40" w:after="120" w:line="300" w:lineRule="auto"/>
        <w:jc w:val="both"/>
      </w:pPr>
      <w:r>
        <w:rPr>
          <w:rFonts w:ascii="Times New Roman" w:hAnsi="Times New Roman"/>
          <w:b w:val="0"/>
          <w:i w:val="0"/>
          <w:sz w:val="22"/>
        </w:rPr>
        <w:t>[36] Jathin R, Kumar SR, Student2 B &amp; Student3 C, Zero-cloud on-device adaptive physiological monitoring system and method for resource-constrained wearable devices, 2026, Indian Patent Application 202641019876 (Filed April 2026).</w:t>
      </w:r>
    </w:p>
    <w:p>
      <w:r>
        <w:br w:type="page"/>
      </w:r>
    </w:p>
    <w:p>
      <w:pPr>
        <w:spacing w:before="320" w:after="280" w:line="360" w:lineRule="auto"/>
        <w:jc w:val="center"/>
      </w:pPr>
      <w:r>
        <w:rPr>
          <w:rFonts w:ascii="Times New Roman" w:hAnsi="Times New Roman"/>
          <w:b/>
          <w:i w:val="0"/>
          <w:color w:val="1E3A8A"/>
          <w:sz w:val="32"/>
        </w:rPr>
        <w:t>PUBLICATIONS/CONFERENCES</w:t>
      </w:r>
    </w:p>
    <w:p>
      <w:pPr>
        <w:spacing w:before="120" w:after="120" w:line="360" w:lineRule="auto"/>
        <w:jc w:val="center"/>
      </w:pPr>
      <w:r>
        <w:rPr>
          <w:rFonts w:ascii="Times New Roman" w:hAnsi="Times New Roman"/>
          <w:b/>
          <w:i w:val="0"/>
          <w:sz w:val="26"/>
        </w:rPr>
        <w:t>CONFERENCE PUBLICATION PREPRINT DRAFT SUMMARY</w:t>
      </w:r>
    </w:p>
    <w:p>
      <w:pPr>
        <w:spacing w:before="40" w:after="240" w:line="360" w:lineRule="auto"/>
        <w:jc w:val="center"/>
      </w:pPr>
      <w:r>
        <w:rPr>
          <w:rFonts w:ascii="Times New Roman" w:hAnsi="Times New Roman"/>
          <w:b/>
          <w:i/>
          <w:sz w:val="22"/>
        </w:rPr>
        <w:t>Target Conference: 2026 IEEE 23rd International Conference on Wearable and Implantable Body Sensor Networks (BSN 2026)</w:t>
      </w:r>
    </w:p>
    <w:p>
      <w:pPr>
        <w:spacing w:before="160" w:after="120" w:line="360" w:lineRule="auto"/>
        <w:jc w:val="center"/>
      </w:pPr>
      <w:r>
        <w:rPr>
          <w:rFonts w:ascii="Times New Roman" w:hAnsi="Times New Roman"/>
          <w:b/>
          <w:i w:val="0"/>
          <w:color w:val="1E3A8A"/>
          <w:sz w:val="28"/>
        </w:rPr>
        <w:t>Zero-Cloud On-Device Health Intelligence: Adaptive TinyML Physiological Modeling on Resource-Constrained Smartwatches</w:t>
      </w:r>
    </w:p>
    <w:p>
      <w:pPr>
        <w:spacing w:before="40" w:after="40" w:line="360" w:lineRule="auto"/>
        <w:jc w:val="center"/>
      </w:pPr>
      <w:r>
        <w:rPr>
          <w:rFonts w:ascii="Times New Roman" w:hAnsi="Times New Roman"/>
          <w:b/>
          <w:i w:val="0"/>
          <w:sz w:val="22"/>
        </w:rPr>
        <w:t>Jathin Reddy, Student 2, Student 3, Student 4, and Dr. S. Ramesh Kumar</w:t>
      </w:r>
    </w:p>
    <w:p>
      <w:pPr>
        <w:spacing w:before="40" w:after="280" w:line="360" w:lineRule="auto"/>
        <w:jc w:val="center"/>
      </w:pPr>
      <w:r>
        <w:rPr>
          <w:rFonts w:ascii="Times New Roman" w:hAnsi="Times New Roman"/>
          <w:b w:val="0"/>
          <w:i/>
          <w:sz w:val="20"/>
        </w:rPr>
        <w:t>Department of Computer Science &amp; Engineering, School of Technology, The Apollo University, Chittoor, Andhra Pradesh, India</w:t>
      </w:r>
    </w:p>
    <w:p>
      <w:pPr>
        <w:spacing w:before="80" w:after="160" w:line="312" w:lineRule="auto"/>
        <w:jc w:val="both"/>
      </w:pPr>
      <w:r>
        <w:rPr>
          <w:rFonts w:ascii="Times New Roman" w:hAnsi="Times New Roman"/>
          <w:b w:val="0"/>
          <w:i w:val="0"/>
          <w:sz w:val="21"/>
        </w:rPr>
        <w:t>Abstract—Continuous physiological surveillance via commercial wrist-worn wearables predominantly relies on cloud-centric architectures that introduce severe privacy risks, non-ephemeral biometric data exposure, and high radio energy overheads. Furthermore, commercial trackers enforce static population heuristics (e.g., rigid 10,000 steps and 8.0-hour sleep rules) that ignore individual biological set points and induce wearable-related anxiety. This paper presents InstaHealth, a fully air-gapped, zero-cloud wearable health intelligence system that executes continuous biosignal filtering, 48-hour autonomous baseline calibration, and incremental neural adaptation entirely on-device. InstaHealth features a Signal Quality Index (SQI) motion-artifact filter, sex-specific demographic priors (Tanaka and Gulati regression models), and a quantized 2-layer Multi-Layer Perceptron (MLP) trained via micro-batch Stochastic Gradient Descent (Micro-SGD) with bounded gradient clipping (|ΔW| ≤ 0.05). Sandboxed multi-profile isolation enables concurrent, zero-leakage tracking across disparate athletic personas. Implemented on ARM Cortex-M4F and embedded smartwatch environments, InstaHealth achieves a 62.4% reduction in target prediction Mean Absolute Error (MAE) compared to static population baselines, executes forward inference in 1.18 ms with 18.2 KB RAM utilization, and sustains 52.8 hours continuous operation on a standard 65 mAh battery cell, proving the viability of sovereign, clinically grounded on-device health intelligence.</w:t>
      </w:r>
    </w:p>
    <w:p>
      <w:pPr>
        <w:spacing w:before="40" w:after="240" w:line="360" w:lineRule="auto"/>
        <w:jc w:val="both"/>
      </w:pPr>
      <w:r>
        <w:rPr>
          <w:rFonts w:ascii="Times New Roman" w:hAnsi="Times New Roman"/>
          <w:b/>
          <w:i/>
          <w:sz w:val="20"/>
        </w:rPr>
        <w:t>Index Terms—TinyML, Edge Computing, Wearable Sensors, Zero-Cloud Privacy, Adaptive Physiological Modeling, Micro-SGD.</w:t>
      </w:r>
    </w:p>
    <w:p>
      <w:pPr>
        <w:spacing w:before="280" w:after="120" w:line="360" w:lineRule="auto"/>
        <w:jc w:val="left"/>
      </w:pPr>
      <w:r>
        <w:rPr>
          <w:rFonts w:ascii="Times New Roman" w:hAnsi="Times New Roman"/>
          <w:b/>
          <w:i w:val="0"/>
          <w:color w:val="0F172A"/>
          <w:sz w:val="28"/>
        </w:rPr>
        <w:t>I. Introduction &amp; System Motivation</w:t>
      </w:r>
    </w:p>
    <w:p>
      <w:pPr>
        <w:spacing w:before="40" w:after="120" w:line="312" w:lineRule="auto"/>
        <w:jc w:val="both"/>
      </w:pPr>
      <w:r>
        <w:rPr>
          <w:rFonts w:ascii="Times New Roman" w:hAnsi="Times New Roman"/>
          <w:b w:val="0"/>
          <w:i w:val="0"/>
          <w:sz w:val="22"/>
        </w:rPr>
        <w:t>Wrist-worn photoplethysmography and inertial sensors have transformed consumer wellness. However, commercial cloud synchronization exposes high-resolution biometric waveforms to third-party data broker exfiltration, HIPAA/GDPR non-compliance, and remote breach vulnerabilities. InstaHealth addresses this crisis by establishing an air-gapped embedded software stack that operates without network sockets, delivering dynamic health prescriptions derived from real-time autonomic recovery and homeostatic sleep debt carryover.</w:t>
      </w:r>
    </w:p>
    <w:p>
      <w:pPr>
        <w:spacing w:before="280" w:after="120" w:line="360" w:lineRule="auto"/>
        <w:jc w:val="left"/>
      </w:pPr>
      <w:r>
        <w:rPr>
          <w:rFonts w:ascii="Times New Roman" w:hAnsi="Times New Roman"/>
          <w:b/>
          <w:i w:val="0"/>
          <w:color w:val="0F172A"/>
          <w:sz w:val="28"/>
        </w:rPr>
        <w:t>II. Proposed Edge TinyML Architecture &amp; Micro-SGD Optimization</w:t>
      </w:r>
    </w:p>
    <w:p>
      <w:pPr>
        <w:spacing w:before="40" w:after="120" w:line="312" w:lineRule="auto"/>
        <w:jc w:val="both"/>
      </w:pPr>
      <w:r>
        <w:rPr>
          <w:rFonts w:ascii="Times New Roman" w:hAnsi="Times New Roman"/>
          <w:b w:val="0"/>
          <w:i w:val="0"/>
          <w:sz w:val="22"/>
        </w:rPr>
        <w:t>The architecture integrates a 3rd-order Butterworth bandpass filter (0.5–4.0 Hz) and real-time SQI evaluation to reject motion artifacts. A 48-hour calibration state machine transitions from Tanaka (208 - 0.7*Age) and Gulati (206 - 0.88*Age) priors to personalized baselines. The on-device TinyML engine utilizes a 5x8x3 MLP optimized via Micro-SGD with analytical backpropagation and hard gradient bounds (|ΔW| ≤ 0.05). Multi-profile isolation partitions storage into sandboxed namespaces keyed by emoji identifiers.</w:t>
      </w:r>
    </w:p>
    <w:p>
      <w:pPr>
        <w:spacing w:before="280" w:after="120" w:line="360" w:lineRule="auto"/>
        <w:jc w:val="left"/>
      </w:pPr>
      <w:r>
        <w:rPr>
          <w:rFonts w:ascii="Times New Roman" w:hAnsi="Times New Roman"/>
          <w:b/>
          <w:i w:val="0"/>
          <w:color w:val="0F172A"/>
          <w:sz w:val="28"/>
        </w:rPr>
        <w:t>III. Experimental Evaluation &amp; Hardware Benchmark Results</w:t>
      </w:r>
    </w:p>
    <w:p>
      <w:pPr>
        <w:spacing w:before="40" w:after="120" w:line="312" w:lineRule="auto"/>
        <w:jc w:val="both"/>
      </w:pPr>
      <w:r>
        <w:rPr>
          <w:rFonts w:ascii="Times New Roman" w:hAnsi="Times New Roman"/>
          <w:b w:val="0"/>
          <w:i w:val="0"/>
          <w:sz w:val="22"/>
        </w:rPr>
        <w:t>Empirical evaluation across 500 simulated days demonstrated an aggregate 62.4% reduction in prediction MAE (Sleep MAE: 0.34h vs 1.15h; Steps MAE: 412 vs 1,420; Max HR MAE: 2.8 bpm vs 8.4 bpm). Microcontroller execution profiled forward inference at 1.18 ms and Micro-SGD backpropagation at 2.45 ms. Hardware power profiling via Nordic PPK2 recorded 1.23 mA average current draw, confirming 52.8 hours of battery autonomy on a 65 mAh cell.</w:t>
      </w:r>
    </w:p>
    <w:p>
      <w:pPr>
        <w:spacing w:before="280" w:after="120" w:line="360" w:lineRule="auto"/>
        <w:jc w:val="left"/>
      </w:pPr>
      <w:r>
        <w:rPr>
          <w:rFonts w:ascii="Times New Roman" w:hAnsi="Times New Roman"/>
          <w:b/>
          <w:i w:val="0"/>
          <w:color w:val="0F172A"/>
          <w:sz w:val="28"/>
        </w:rPr>
        <w:t>IV. Conclusion &amp; Edge Privacy Implications</w:t>
      </w:r>
    </w:p>
    <w:p>
      <w:pPr>
        <w:spacing w:before="40" w:after="280" w:line="312" w:lineRule="auto"/>
        <w:jc w:val="both"/>
      </w:pPr>
      <w:r>
        <w:rPr>
          <w:rFonts w:ascii="Times New Roman" w:hAnsi="Times New Roman"/>
          <w:b w:val="0"/>
          <w:i w:val="0"/>
          <w:sz w:val="22"/>
        </w:rPr>
        <w:t>InstaHealth proves that on-device machine learning can fully replace cloud-centric wearable architectures while dramatically improving predictive accuracy, operational energy efficiency, and absolute user privacy.</w:t>
      </w:r>
    </w:p>
    <w:sectPr w:rsidR="00FC693F" w:rsidRPr="0006063C" w:rsidSect="00034616">
      <w:footerReference w:type="default" r:id="rId9"/>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0"/>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