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3147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3169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3174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3179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3182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3186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3189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3192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3199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