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Gudbrandsdalsost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Outback Lager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Flotemysost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Mozzarella di Giovanni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Röd Kaviar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Longlife Tofu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Rhönbräu Klosterbier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Lakkalikööri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Original Frankfurter grüne Soße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Aniseed Syrup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Chef Anton's Cajun Seasoning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Chef Anton's Gumbo Mix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Grandma's Boysenberry Spread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Uncle Bob's Organic Dried Pears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Northwoods Cranberry Sauce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Mishi Kobe Niku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Ikura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Queso Cabrales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Queso Manchego La Pastora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Konbu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Tofu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Genen Shouyu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Pavlova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Alice Mutton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Carnarvon Tigers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Teatime Chocolate Biscuits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Sir Rodney's Marmalade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Sir Rodney's Scones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Gustaf's Knäckebröd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Tunnbröd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Guaraná Fantástica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NuNuCa Nuß-Nougat-Creme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Gumbär Gummibärchen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Schoggi Schokolade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Rössle Sauerkraut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Thüringer Rostbratwurst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Nord-Ost Matjeshering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Gorgonzola Telino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Mascarpone Fabioli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Geitost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Sasquatch 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Steeleye Stout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Inlagd Sill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Gravad lax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Côte de Blaye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Chartreuse verte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Boston Crab Meat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Jack's New England Clam Chowder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Singaporean Hokkien Fried Mee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Ipoh Coffee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Gula Malacca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Rogede sild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Spegesild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Zaanse koeken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Chocolade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Maxilaku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Valkoinen suklaa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Manjimup Dried Apples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Filo Mix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Perth Pasties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Tourtière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Pâté chinois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Gnocchi di nonna Alice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Ravioli Angelo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Escargots de Bourgogne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Raclette Courdavault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Camembert Pierrot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Sirop d'érable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Tarte au sucre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Vegie-spread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Wimmers gute Semmelknödel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Louisiana Fiery Hot Pepper Sauce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Louisiana Hot Spiced Okra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Laughing Lumberjack Lager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Scottish Longbreads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