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</w:rPr>
        <w:t>Up to Now</w:t>
      </w:r>
      <w:r w:rsidRPr="00C613E5">
        <w:t>:</w:t>
      </w:r>
    </w:p>
    <w:p w14:paraId="38740D0C" w14:textId="3D66CAA9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Familiar with </w:t>
      </w:r>
      <w:r w:rsidRPr="00C613E5">
        <w:rPr>
          <w:b/>
          <w:bCs/>
        </w:rPr>
        <w:t>Kafka Eco-System</w:t>
      </w:r>
      <w:r w:rsidRPr="00C613E5">
        <w:t xml:space="preserve"> Five Components.</w:t>
      </w:r>
    </w:p>
    <w:p w14:paraId="2B797D7A" w14:textId="330631C8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Now you know who </w:t>
      </w:r>
      <w:proofErr w:type="gramStart"/>
      <w:r w:rsidRPr="00C613E5">
        <w:t xml:space="preserve">is who in the </w:t>
      </w:r>
      <w:r w:rsidRPr="00C613E5">
        <w:rPr>
          <w:b/>
          <w:bCs/>
        </w:rPr>
        <w:t>Kafka Stack</w:t>
      </w:r>
      <w:proofErr w:type="gramEnd"/>
      <w:r w:rsidRPr="00C613E5">
        <w:t>.</w:t>
      </w:r>
      <w:r w:rsidR="000D5CBC" w:rsidRPr="00C613E5">
        <w:br/>
      </w:r>
      <w:r w:rsidR="000D5CBC" w:rsidRPr="00C613E5">
        <w:rPr>
          <w:noProof/>
        </w:rPr>
        <w:drawing>
          <wp:inline distT="0" distB="0" distL="0" distR="0" wp14:anchorId="45FA1B95" wp14:editId="4BD7DB55">
            <wp:extent cx="7651115" cy="14312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B3" w14:textId="02705824" w:rsidR="000D5CBC" w:rsidRPr="00C613E5" w:rsidRDefault="000D5CBC" w:rsidP="008925D1">
      <w:pPr>
        <w:pStyle w:val="ListParagraph"/>
        <w:numPr>
          <w:ilvl w:val="1"/>
          <w:numId w:val="14"/>
        </w:numPr>
      </w:pPr>
      <w:r w:rsidRPr="00C613E5">
        <w:t>When you should be using which tools.</w:t>
      </w:r>
    </w:p>
    <w:p w14:paraId="49CE56B4" w14:textId="42757916" w:rsidR="008925D1" w:rsidRPr="00C613E5" w:rsidRDefault="000D5CBC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  <w:u w:val="single"/>
        </w:rPr>
        <w:t>Agenda</w:t>
      </w:r>
      <w:r w:rsidR="00A761E9" w:rsidRPr="00C613E5">
        <w:rPr>
          <w:b/>
          <w:bCs/>
          <w:u w:val="single"/>
        </w:rPr>
        <w:t xml:space="preserve"> for this Section</w:t>
      </w:r>
      <w:r w:rsidRPr="00C613E5">
        <w:t>:</w:t>
      </w:r>
    </w:p>
    <w:p w14:paraId="3F01BB4B" w14:textId="796C9C85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>However</w:t>
      </w:r>
      <w:r w:rsidR="00F6350A" w:rsidRPr="00C613E5">
        <w:t>,</w:t>
      </w:r>
      <w:r w:rsidRPr="00C613E5">
        <w:t xml:space="preserve"> </w:t>
      </w:r>
      <w:r w:rsidR="00C914D8" w:rsidRPr="00C613E5">
        <w:t xml:space="preserve">these all concepts </w:t>
      </w:r>
      <w:r w:rsidRPr="00C613E5">
        <w:t>can be solidified further when you can start doing some hands-on activities and explore them.</w:t>
      </w:r>
    </w:p>
    <w:p w14:paraId="2AE56FE0" w14:textId="0481145C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 xml:space="preserve">With that in mind, we are dedicating this section to </w:t>
      </w:r>
      <w:r w:rsidR="001902F9" w:rsidRPr="00C613E5">
        <w:t xml:space="preserve">help you get started with </w:t>
      </w:r>
      <w:r w:rsidR="001902F9" w:rsidRPr="00C613E5">
        <w:rPr>
          <w:b/>
          <w:bCs/>
        </w:rPr>
        <w:t>Apache Kafka</w:t>
      </w:r>
      <w:r w:rsidR="001902F9" w:rsidRPr="00C613E5">
        <w:t>.</w:t>
      </w:r>
    </w:p>
    <w:p w14:paraId="66F6C1F2" w14:textId="37C95089" w:rsidR="00A761E9" w:rsidRPr="00C613E5" w:rsidRDefault="00A761E9" w:rsidP="000D5CBC">
      <w:pPr>
        <w:pStyle w:val="ListParagraph"/>
        <w:numPr>
          <w:ilvl w:val="1"/>
          <w:numId w:val="14"/>
        </w:numPr>
      </w:pPr>
      <w:r w:rsidRPr="00C613E5">
        <w:t>We will be doing following in this section.</w:t>
      </w:r>
      <w:r w:rsidRPr="00C613E5">
        <w:rPr>
          <w:noProof/>
        </w:rPr>
        <w:drawing>
          <wp:inline distT="0" distB="0" distL="0" distR="0" wp14:anchorId="320613A8" wp14:editId="0FFDA3A8">
            <wp:extent cx="7651115" cy="98869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2EF" w14:textId="751F2863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Single Node Kafka Cluster</w:t>
      </w:r>
      <w:r w:rsidRPr="00C613E5">
        <w:t>:</w:t>
      </w:r>
      <w:r w:rsidRPr="00C613E5">
        <w:br/>
        <w:t xml:space="preserve">We’re going to set up a </w:t>
      </w:r>
      <w:r w:rsidRPr="00C613E5">
        <w:rPr>
          <w:b/>
          <w:bCs/>
        </w:rPr>
        <w:t xml:space="preserve">single node Kafka </w:t>
      </w:r>
      <w:r w:rsidRPr="00C613E5">
        <w:t>on our local machine.</w:t>
      </w:r>
    </w:p>
    <w:p w14:paraId="475D4ECF" w14:textId="1A0E3372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Producer &amp; Consumer</w:t>
      </w:r>
      <w:r w:rsidRPr="00C613E5">
        <w:t>:</w:t>
      </w:r>
    </w:p>
    <w:p w14:paraId="2DD85284" w14:textId="36A678AE" w:rsidR="00A761E9" w:rsidRPr="00C613E5" w:rsidRDefault="0010138E" w:rsidP="00A761E9">
      <w:pPr>
        <w:pStyle w:val="ListParagraph"/>
        <w:numPr>
          <w:ilvl w:val="3"/>
          <w:numId w:val="14"/>
        </w:numPr>
      </w:pPr>
      <w:r w:rsidRPr="00C613E5">
        <w:t xml:space="preserve">We will be using off the shelf </w:t>
      </w:r>
      <w:r w:rsidRPr="00C613E5">
        <w:rPr>
          <w:b/>
          <w:bCs/>
        </w:rPr>
        <w:t>Command Line Kafka Producer &amp; Consumer</w:t>
      </w:r>
      <w:r w:rsidRPr="00C613E5">
        <w:t>.</w:t>
      </w:r>
    </w:p>
    <w:p w14:paraId="2B708E31" w14:textId="1B7D2DE8" w:rsidR="0010138E" w:rsidRPr="00C613E5" w:rsidRDefault="0010138E" w:rsidP="0010138E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Multi-Node Kafka Cluster</w:t>
      </w:r>
      <w:r w:rsidRPr="00C613E5">
        <w:t>:</w:t>
      </w:r>
    </w:p>
    <w:p w14:paraId="2C56E032" w14:textId="6CA72F6A" w:rsidR="0010138E" w:rsidRPr="00C613E5" w:rsidRDefault="008479BD" w:rsidP="0010138E">
      <w:pPr>
        <w:pStyle w:val="ListParagraph"/>
        <w:numPr>
          <w:ilvl w:val="3"/>
          <w:numId w:val="14"/>
        </w:numPr>
      </w:pPr>
      <w:r w:rsidRPr="00C613E5">
        <w:rPr>
          <w:b/>
          <w:bCs/>
        </w:rPr>
        <w:t>Kafka</w:t>
      </w:r>
      <w:r w:rsidRPr="00C613E5">
        <w:t xml:space="preserve"> is a </w:t>
      </w:r>
      <w:r w:rsidRPr="00C613E5">
        <w:rPr>
          <w:b/>
          <w:bCs/>
        </w:rPr>
        <w:t>cluster</w:t>
      </w:r>
      <w:r w:rsidRPr="00C613E5">
        <w:t xml:space="preserve"> of </w:t>
      </w:r>
      <w:r w:rsidR="00F7739E" w:rsidRPr="00C613E5">
        <w:rPr>
          <w:b/>
          <w:bCs/>
        </w:rPr>
        <w:t>B</w:t>
      </w:r>
      <w:r w:rsidRPr="00C613E5">
        <w:rPr>
          <w:b/>
          <w:bCs/>
        </w:rPr>
        <w:t>rokers</w:t>
      </w:r>
      <w:r w:rsidRPr="00C613E5">
        <w:t>.</w:t>
      </w:r>
    </w:p>
    <w:p w14:paraId="2102811F" w14:textId="56BDA1B6" w:rsidR="008479BD" w:rsidRPr="00C613E5" w:rsidRDefault="008D2CE2" w:rsidP="0010138E">
      <w:pPr>
        <w:pStyle w:val="ListParagraph"/>
        <w:numPr>
          <w:ilvl w:val="3"/>
          <w:numId w:val="14"/>
        </w:numPr>
      </w:pPr>
      <w:r w:rsidRPr="00C613E5">
        <w:t xml:space="preserve">So, we will configure three </w:t>
      </w:r>
      <w:r w:rsidRPr="00C613E5">
        <w:rPr>
          <w:b/>
          <w:bCs/>
        </w:rPr>
        <w:t>Kafka Brokers</w:t>
      </w:r>
      <w:r w:rsidRPr="00C613E5">
        <w:t xml:space="preserve"> on our local machine and help you get a feel of how a </w:t>
      </w:r>
      <w:r w:rsidRPr="00C613E5">
        <w:rPr>
          <w:b/>
          <w:bCs/>
        </w:rPr>
        <w:t>Kafka Cluster</w:t>
      </w:r>
      <w:r w:rsidRPr="00C613E5">
        <w:t xml:space="preserve"> works.</w:t>
      </w:r>
    </w:p>
    <w:p w14:paraId="2C9638CF" w14:textId="42C747F8" w:rsidR="00A761E9" w:rsidRPr="00C613E5" w:rsidRDefault="008D2CE2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Consumer Group</w:t>
      </w:r>
      <w:r w:rsidRPr="00C613E5">
        <w:t>:</w:t>
      </w:r>
    </w:p>
    <w:p w14:paraId="7220C364" w14:textId="687BF6BB" w:rsidR="008D2CE2" w:rsidRPr="00C613E5" w:rsidRDefault="008D2CE2" w:rsidP="008D2CE2">
      <w:pPr>
        <w:pStyle w:val="ListParagraph"/>
        <w:numPr>
          <w:ilvl w:val="3"/>
          <w:numId w:val="14"/>
        </w:numPr>
      </w:pPr>
      <w:r w:rsidRPr="00C613E5">
        <w:t xml:space="preserve">As will be using </w:t>
      </w:r>
      <w:r w:rsidRPr="00C613E5">
        <w:rPr>
          <w:b/>
          <w:bCs/>
        </w:rPr>
        <w:t>Command Line Producer</w:t>
      </w:r>
      <w:r w:rsidRPr="00C613E5">
        <w:t xml:space="preserve"> to send some messages</w:t>
      </w:r>
      <w:r w:rsidR="00801518" w:rsidRPr="00C613E5">
        <w:t xml:space="preserve">, so we will start a couple of </w:t>
      </w:r>
      <w:r w:rsidR="00801518" w:rsidRPr="00C613E5">
        <w:rPr>
          <w:b/>
          <w:bCs/>
        </w:rPr>
        <w:t>Consumers</w:t>
      </w:r>
      <w:r w:rsidR="00801518" w:rsidRPr="00C613E5">
        <w:t xml:space="preserve"> to see the </w:t>
      </w:r>
      <w:r w:rsidR="00801518" w:rsidRPr="00C613E5">
        <w:rPr>
          <w:b/>
          <w:bCs/>
        </w:rPr>
        <w:t>Consumer workload</w:t>
      </w:r>
      <w:r w:rsidR="00801518" w:rsidRPr="00C613E5">
        <w:t xml:space="preserve"> sharing in action.</w:t>
      </w:r>
    </w:p>
    <w:p w14:paraId="615B6493" w14:textId="5302473D" w:rsidR="000D5CBC" w:rsidRPr="005F0B52" w:rsidRDefault="000A4193" w:rsidP="008925D1">
      <w:pPr>
        <w:pStyle w:val="ListParagraph"/>
        <w:numPr>
          <w:ilvl w:val="0"/>
          <w:numId w:val="14"/>
        </w:numPr>
        <w:ind w:left="426"/>
      </w:pPr>
      <w:r w:rsidRPr="00C613E5">
        <w:t xml:space="preserve">While we do all this, we will be learning a few more things about the </w:t>
      </w:r>
      <w:r w:rsidRPr="00C613E5">
        <w:rPr>
          <w:b/>
          <w:bCs/>
        </w:rPr>
        <w:t>Kafka Cluster</w:t>
      </w:r>
      <w:r w:rsidRPr="00C613E5">
        <w:t xml:space="preserve"> and </w:t>
      </w:r>
      <w:r w:rsidR="00676246" w:rsidRPr="00C613E5">
        <w:t xml:space="preserve">how </w:t>
      </w:r>
      <w:r w:rsidRPr="00C613E5">
        <w:t xml:space="preserve">data is store in </w:t>
      </w:r>
      <w:r w:rsidRPr="00C613E5">
        <w:rPr>
          <w:b/>
          <w:bCs/>
        </w:rPr>
        <w:t>Kafka Cluster.</w:t>
      </w:r>
    </w:p>
    <w:p w14:paraId="1973C6AE" w14:textId="2DC42881" w:rsidR="005F0B52" w:rsidRDefault="005F0B52" w:rsidP="008925D1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 wp14:anchorId="4DB3F4A5" wp14:editId="5EB8CE3A">
            <wp:extent cx="7265035" cy="238963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900" cy="23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10" w:history="1">
        <w:r w:rsidRPr="00B004D4">
          <w:rPr>
            <w:rStyle w:val="Hyperlink"/>
          </w:rPr>
          <w:t>https://www.kai-waehner.de/blog/2021/04/20/comparison-open-source-apache-kafka-vs-confluent-cloudera-red-hat-amazon-msk-cloud/</w:t>
        </w:r>
      </w:hyperlink>
    </w:p>
    <w:p w14:paraId="6BD3E56D" w14:textId="77777777" w:rsidR="005F0B52" w:rsidRPr="00C613E5" w:rsidRDefault="005F0B52" w:rsidP="008925D1">
      <w:pPr>
        <w:pStyle w:val="ListParagraph"/>
        <w:numPr>
          <w:ilvl w:val="0"/>
          <w:numId w:val="14"/>
        </w:numPr>
        <w:ind w:left="426"/>
      </w:pPr>
    </w:p>
    <w:sectPr w:rsidR="005F0B52" w:rsidRPr="00C613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0B52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D79FA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13E5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64FD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7739E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i-waehner.de/blog/2021/04/20/comparison-open-source-apache-kafka-vs-confluent-cloudera-red-hat-amazon-msk-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97</cp:revision>
  <dcterms:created xsi:type="dcterms:W3CDTF">2022-06-17T21:58:00Z</dcterms:created>
  <dcterms:modified xsi:type="dcterms:W3CDTF">2023-01-10T17:36:00Z</dcterms:modified>
</cp:coreProperties>
</file>