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373E0" w:rsidRDefault="00227FEC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227FEC">
        <w:rPr>
          <w:b/>
          <w:color w:val="C4BC96" w:themeColor="background2" w:themeShade="BF"/>
          <w:lang w:val="en-IN"/>
        </w:rPr>
        <w:t>Scenario</w:t>
      </w:r>
      <w:r>
        <w:rPr>
          <w:color w:val="C4BC96" w:themeColor="background2" w:themeShade="BF"/>
          <w:u w:val="none"/>
          <w:lang w:val="en-IN"/>
        </w:rPr>
        <w:t>:</w:t>
      </w:r>
    </w:p>
    <w:p w:rsidR="00227FEC" w:rsidRDefault="00227FEC" w:rsidP="00227FEC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 xml:space="preserve">Where we don’t have any UI App. </w:t>
      </w:r>
      <w:r>
        <w:rPr>
          <w:color w:val="C4BC96" w:themeColor="background2" w:themeShade="BF"/>
          <w:u w:val="none"/>
          <w:lang w:val="en-IN"/>
        </w:rPr>
        <w:br/>
        <w:t>Typical use case is in microservices where one micro service wants to access another micro service.</w:t>
      </w:r>
    </w:p>
    <w:p w:rsidR="00F01ED9" w:rsidRPr="00F01ED9" w:rsidRDefault="00F01ED9" w:rsidP="00F01ED9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In this case, we create a separate authorization server instead of implementing authentication and authorization code in each micro service.</w:t>
      </w:r>
    </w:p>
    <w:p w:rsidR="00227FEC" w:rsidRDefault="00F01ED9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379142" cy="3200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408" cy="320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D9" w:rsidRDefault="006E51C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377631" cy="28156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806" cy="281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C0" w:rsidRDefault="009B0FD2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9B0FD2">
        <w:rPr>
          <w:b/>
          <w:color w:val="C4BC96" w:themeColor="background2" w:themeShade="BF"/>
          <w:lang w:val="en-IN"/>
        </w:rPr>
        <w:t>NOTE</w:t>
      </w:r>
      <w:r>
        <w:rPr>
          <w:color w:val="C4BC96" w:themeColor="background2" w:themeShade="BF"/>
          <w:u w:val="none"/>
          <w:lang w:val="en-IN"/>
        </w:rPr>
        <w:t>: Resource Owner (End-User) is not involved in this flow.</w:t>
      </w:r>
    </w:p>
    <w:p w:rsidR="009B0FD2" w:rsidRDefault="009B0FD2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p w:rsidR="006E51C0" w:rsidRPr="007E70C8" w:rsidRDefault="006E51C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sectPr w:rsidR="006E51C0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2021-08-17T14:33:00Z</dcterms:created>
  <dcterms:modified xsi:type="dcterms:W3CDTF">2021-08-17T14:43:00Z</dcterms:modified>
</cp:coreProperties>
</file>