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mcgcarewebqi-interface--net-10-rebuild"/>
    <w:p>
      <w:pPr>
        <w:pStyle w:val="Heading1"/>
      </w:pPr>
      <w:r>
        <w:t xml:space="preserve">MCGCareWEBQI Interface — .NET 10 rebuild</w:t>
      </w:r>
    </w:p>
    <w:p>
      <w:pPr>
        <w:pStyle w:val="FirstParagraph"/>
      </w:pPr>
      <w:r>
        <w:t xml:space="preserve">A modernized, application-agnostic bridge between any third-party system and</w:t>
      </w:r>
      <w:r>
        <w:t xml:space="preserve"> </w:t>
      </w:r>
      <w:r>
        <w:rPr>
          <w:b/>
          <w:bCs/>
        </w:rPr>
        <w:t xml:space="preserve">MCG CareWebQI 12.0</w:t>
      </w:r>
      <w:r>
        <w:t xml:space="preserve">. Originally written in 2010 on ASP.NET Web Forms +</w:t>
      </w:r>
      <w:r>
        <w:t xml:space="preserve"> </w:t>
      </w:r>
      <w:r>
        <w:t xml:space="preserve">EntitySpaces; rewritten on .NET 10, ASP.NET Core (Blazor Server + minimal API),</w:t>
      </w:r>
      <w:r>
        <w:t xml:space="preserve"> </w:t>
      </w:r>
      <w:r>
        <w:t xml:space="preserve">Entity Framework Core, CoreWCF, and MudBlazor.</w:t>
      </w:r>
    </w:p>
    <w:p>
      <w:pPr>
        <w:pStyle w:val="BlockText"/>
      </w:pPr>
      <w:r>
        <w:rPr>
          <w:b/>
          <w:bCs/>
        </w:rPr>
        <w:t xml:space="preserve">Design philosophy.</w:t>
      </w:r>
      <w:r>
        <w:t xml:space="preserve"> </w:t>
      </w:r>
      <w:r>
        <w:t xml:space="preserve">The bridge has</w:t>
      </w:r>
      <w:r>
        <w:t xml:space="preserve"> </w:t>
      </w:r>
      <w:r>
        <w:rPr>
          <w:b/>
          <w:bCs/>
        </w:rPr>
        <w:t xml:space="preserve">zero compile-time coupling</w:t>
      </w:r>
      <w:r>
        <w:t xml:space="preserve"> </w:t>
      </w:r>
      <w:r>
        <w:t xml:space="preserve">to any</w:t>
      </w:r>
      <w:r>
        <w:t xml:space="preserve"> </w:t>
      </w:r>
      <w:r>
        <w:t xml:space="preserve">calling application. Callers integrate by opening a documented launch URL</w:t>
      </w:r>
      <w:r>
        <w:t xml:space="preserve"> </w:t>
      </w:r>
      <w:r>
        <w:t xml:space="preserve">in a popup window. Results come back via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,</w:t>
      </w:r>
      <w:r>
        <w:t xml:space="preserve"> </w:t>
      </w:r>
      <w:r>
        <w:t xml:space="preserve">server-to-server webhook, or REST polling — caller picks. Add a new caller</w:t>
      </w:r>
      <w:r>
        <w:t xml:space="preserve"> </w:t>
      </w:r>
      <w:r>
        <w:t xml:space="preserve">tomorrow → same URL pattern, zero bridge code change.</w:t>
      </w:r>
    </w:p>
    <w:bookmarkStart w:id="14" w:name="projects"/>
    <w:p>
      <w:pPr>
        <w:pStyle w:val="Heading2"/>
      </w:pPr>
      <w:r>
        <w:t xml:space="preserve">Projects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src/MCGCareWEBQI.Shared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Hash helper, CwqiMessage POCOs, config models, request builders. No I/O.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src/MCGCareWEBQI.Data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EF Core 10 DbContext + entities (</w:t>
            </w:r>
            <w:r>
              <w:rPr>
                <w:rStyle w:val="VerbatimChar"/>
              </w:rPr>
              <w:t xml:space="preserve">IntegrationTransaction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IntegrationAudit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src/MCGCareWEBQI.Bridge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bridge itself. Blazor Server + minimal API. Replaces the old Web Forms project.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src/MCGCareWEBQI.MockServer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Stand-in for real MCG CareWebQI. Hosts</w:t>
            </w:r>
            <w:r>
              <w:t xml:space="preserve"> </w:t>
            </w:r>
            <w:r>
              <w:rPr>
                <w:rStyle w:val="VerbatimChar"/>
              </w:rPr>
              <w:t xml:space="preserve">interfacelogin.aspx</w:t>
            </w:r>
            <w:r>
              <w:t xml:space="preserve"> </w:t>
            </w:r>
            <w:r>
              <w:t xml:space="preserve">+ CoreWCF</w:t>
            </w:r>
            <w:r>
              <w:t xml:space="preserve"> </w:t>
            </w:r>
            <w:r>
              <w:rPr>
                <w:rStyle w:val="VerbatimChar"/>
              </w:rPr>
              <w:t xml:space="preserve">Reconcile.asmx</w:t>
            </w:r>
            <w:r>
              <w:t xml:space="preserve">. Swap with real MCG via config.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tests/MCGCareWEBQI.Tests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xUnit unit tests (12 tests, all passing).</w:t>
            </w:r>
          </w:p>
        </w:tc>
      </w:tr>
    </w:tbl>
    <w:bookmarkEnd w:id="14"/>
    <w:bookmarkStart w:id="15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Restore + build</w:t>
      </w:r>
      <w:r>
        <w:br/>
      </w:r>
      <w:r>
        <w:rPr>
          <w:rStyle w:val="NormalTok"/>
        </w:rPr>
        <w:t xml:space="preserve">dotnet build</w:t>
      </w:r>
      <w:r>
        <w:br/>
      </w:r>
      <w:r>
        <w:br/>
      </w:r>
      <w:r>
        <w:rPr>
          <w:rStyle w:val="CommentTok"/>
        </w:rPr>
        <w:t xml:space="preserve"># 2. Create LocalDB and apply schema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"(localdb)\MSSQLLocalDB"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StringTok"/>
        </w:rPr>
        <w:t xml:space="preserve">"IF DB_ID('MCGCareWEBQI_Dev') IS NULL CREATE DATABASE MCGCareWEBQI_Dev"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"(localdb)\MSSQLLocalDB"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MCGCareWEBQI_Dev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db\schema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br/>
      </w:r>
      <w:r>
        <w:rPr>
          <w:rStyle w:val="CommentTok"/>
        </w:rPr>
        <w:t xml:space="preserve"># 3. Run tests</w:t>
      </w:r>
      <w:r>
        <w:br/>
      </w:r>
      <w:r>
        <w:rPr>
          <w:rStyle w:val="NormalTok"/>
        </w:rPr>
        <w:t xml:space="preserve">dotnet test</w:t>
      </w:r>
      <w:r>
        <w:br/>
      </w:r>
      <w:r>
        <w:br/>
      </w:r>
      <w:r>
        <w:rPr>
          <w:rStyle w:val="CommentTok"/>
        </w:rPr>
        <w:t xml:space="preserve"># 4. Start the mock MCG server (one terminal)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MCGCareWEBQI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MockServer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http://localhost:7080</w:t>
      </w:r>
      <w:r>
        <w:br/>
      </w:r>
      <w:r>
        <w:br/>
      </w:r>
      <w:r>
        <w:rPr>
          <w:rStyle w:val="CommentTok"/>
        </w:rPr>
        <w:t xml:space="preserve"># 5. Start the bridge (second terminal)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MCGCareWEBQI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Bridge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http://localhost:7090</w:t>
      </w:r>
      <w:r>
        <w:br/>
      </w:r>
      <w:r>
        <w:br/>
      </w:r>
      <w:r>
        <w:rPr>
          <w:rStyle w:val="CommentTok"/>
        </w:rPr>
        <w:t xml:space="preserve"># 6. Open the demo caller in your browser</w:t>
      </w:r>
      <w:r>
        <w:br/>
      </w:r>
      <w:r>
        <w:rPr>
          <w:rStyle w:val="CommentTok"/>
        </w:rPr>
        <w:t xml:space="preserve">#    http://localhost:7090/demo</w:t>
      </w:r>
      <w:r>
        <w:br/>
      </w:r>
      <w:r>
        <w:rPr>
          <w:rStyle w:val="CommentTok"/>
        </w:rPr>
        <w:t xml:space="preserve">#    Fill the form, click "Launch MCG popup", click through, watch the result come back.</w:t>
      </w:r>
    </w:p>
    <w:bookmarkEnd w:id="15"/>
    <w:bookmarkStart w:id="16" w:name="end-to-end-flow"/>
    <w:p>
      <w:pPr>
        <w:pStyle w:val="Heading2"/>
      </w:pPr>
      <w:r>
        <w:t xml:space="preserve">End-to-end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                     ┌──────────────────┐</w:t>
      </w:r>
      <w:r>
        <w:br/>
      </w:r>
      <w:r>
        <w:rPr>
          <w:rStyle w:val="VerbatimChar"/>
        </w:rPr>
        <w:t xml:space="preserve">│ EvokeConnect │ ── window.open(launch) ───▶│  Bridge (popup)  │──signed POST──▶ MCG (or Mock)</w:t>
      </w:r>
      <w:r>
        <w:br/>
      </w:r>
      <w:r>
        <w:rPr>
          <w:rStyle w:val="VerbatimChar"/>
        </w:rPr>
        <w:t xml:space="preserve">│  or any      │ ◀── postMessage(result) ───┤                  │ ◀──CwqiMessage──</w:t>
      </w:r>
      <w:r>
        <w:br/>
      </w:r>
      <w:r>
        <w:rPr>
          <w:rStyle w:val="VerbatimChar"/>
        </w:rPr>
        <w:t xml:space="preserve">│  caller      │ ◀── webhook (optional) ────┤                  │──SOAP ACK──▶ Reconcile.asmx</w:t>
      </w:r>
      <w:r>
        <w:br/>
      </w:r>
      <w:r>
        <w:rPr>
          <w:rStyle w:val="VerbatimChar"/>
        </w:rPr>
        <w:t xml:space="preserve">└──────────────┘ ◀── REST poll (optional) ──┤                  │</w:t>
      </w:r>
      <w:r>
        <w:br/>
      </w:r>
      <w:r>
        <w:rPr>
          <w:rStyle w:val="VerbatimChar"/>
        </w:rPr>
        <w:t xml:space="preserve">                          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IntegrationTransaction</w:t>
      </w:r>
      <w:r>
        <w:br/>
      </w:r>
      <w:r>
        <w:rPr>
          <w:rStyle w:val="VerbatimChar"/>
        </w:rPr>
        <w:t xml:space="preserve">                                              + IntegrationAudit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Caller opens</w:t>
      </w:r>
      <w:r>
        <w:t xml:space="preserve"> </w:t>
      </w:r>
      <w:r>
        <w:rPr>
          <w:rStyle w:val="VerbatimChar"/>
        </w:rPr>
        <w:t xml:space="preserve">/launch?callerId=…&amp;callerTxnId=…&amp;patientId=…</w:t>
      </w:r>
      <w:r>
        <w:t xml:space="preserve"> </w:t>
      </w:r>
      <w:r>
        <w:t xml:space="preserve">in a popup.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</w:t>
      </w:r>
      <w:r>
        <w:t xml:space="preserve"> </w:t>
      </w:r>
      <w:r>
        <w:t xml:space="preserve">binds query string to</w:t>
      </w:r>
      <w:r>
        <w:t xml:space="preserve"> </w:t>
      </w:r>
      <w:r>
        <w:rPr>
          <w:rStyle w:val="VerbatimChar"/>
        </w:rPr>
        <w:t xml:space="preserve">LaunchRequest</w:t>
      </w:r>
      <w:r>
        <w:t xml:space="preserve">, writes an</w:t>
      </w:r>
      <w:r>
        <w:t xml:space="preserve"> </w:t>
      </w:r>
      <w:r>
        <w:rPr>
          <w:rStyle w:val="VerbatimChar"/>
        </w:rPr>
        <w:t xml:space="preserve">IntegrationTransaction</w:t>
      </w:r>
      <w:r>
        <w:t xml:space="preserve"> </w:t>
      </w:r>
      <w:r>
        <w:t xml:space="preserve">row,</w:t>
      </w:r>
      <w:r>
        <w:t xml:space="preserve"> </w:t>
      </w:r>
      <w:r>
        <w:t xml:space="preserve">builds the signed MCG POST per Dev Guide §4, renders an auto-submitting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MCG (or Mock)</w:t>
      </w:r>
      <w:r>
        <w:t xml:space="preserve"> </w:t>
      </w:r>
      <w:r>
        <w:t xml:space="preserve">validates the hash, opens the clinician documentation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Clinician</w:t>
      </w:r>
      <w:r>
        <w:t xml:space="preserve"> </w:t>
      </w:r>
      <w:r>
        <w:t xml:space="preserve">documents criteria, adds notes, clicks</w:t>
      </w:r>
      <w:r>
        <w:t xml:space="preserve"> </w:t>
      </w:r>
      <w:r>
        <w:rPr>
          <w:b/>
          <w:bCs/>
        </w:rPr>
        <w:t xml:space="preserve">Exit Episode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MCG</w:t>
      </w:r>
      <w:r>
        <w:t xml:space="preserve"> </w:t>
      </w:r>
      <w:r>
        <w:t xml:space="preserve">posts</w:t>
      </w:r>
      <w:r>
        <w:t xml:space="preserve"> </w:t>
      </w:r>
      <w:r>
        <w:rPr>
          <w:rStyle w:val="VerbatimChar"/>
        </w:rPr>
        <w:t xml:space="preserve">&lt;CwqiMessage&gt;</w:t>
      </w:r>
      <w:r>
        <w:t xml:space="preserve"> </w:t>
      </w:r>
      <w:r>
        <w:t xml:space="preserve">XML back to bridge's</w:t>
      </w:r>
      <w:r>
        <w:t xml:space="preserve"> </w:t>
      </w:r>
      <w:r>
        <w:rPr>
          <w:rStyle w:val="VerbatimChar"/>
        </w:rPr>
        <w:t xml:space="preserve">/receive</w:t>
      </w:r>
      <w:r>
        <w:t xml:space="preserve"> </w:t>
      </w:r>
      <w:r>
        <w:t xml:space="preserve">endpoint (matches Dev Guide 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</w:t>
      </w:r>
      <w:r>
        <w:t xml:space="preserve"> </w:t>
      </w:r>
      <w:r>
        <w:t xml:space="preserve">parses the XML, persists, calls Reconcile.asmx to ACK (Dev Guide §6).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 popup</w:t>
      </w:r>
      <w:r>
        <w:t xml:space="preserve"> </w:t>
      </w:r>
      <w:r>
        <w:t xml:space="preserve">renders a "Done" page that:</w:t>
      </w:r>
    </w:p>
    <w:p>
      <w:pPr>
        <w:pStyle w:val="Compact"/>
        <w:numPr>
          <w:ilvl w:val="1"/>
          <w:numId w:val="1002"/>
        </w:numPr>
      </w:pPr>
      <w:r>
        <w:t xml:space="preserve">sends</w:t>
      </w:r>
      <w:r>
        <w:t xml:space="preserve"> </w:t>
      </w:r>
      <w:r>
        <w:rPr>
          <w:rStyle w:val="VerbatimChar"/>
        </w:rPr>
        <w:t xml:space="preserve">window.postMessage({ source: 'mcg-bridge', payload: result }, callerOrigin)</w:t>
      </w:r>
    </w:p>
    <w:p>
      <w:pPr>
        <w:pStyle w:val="Compact"/>
        <w:numPr>
          <w:ilvl w:val="1"/>
          <w:numId w:val="1002"/>
        </w:numPr>
      </w:pPr>
      <w:r>
        <w:t xml:space="preserve">auto-closes after ~1.5s</w:t>
      </w:r>
    </w:p>
    <w:p>
      <w:pPr>
        <w:pStyle w:val="Compact"/>
        <w:numPr>
          <w:ilvl w:val="1"/>
          <w:numId w:val="1002"/>
        </w:numPr>
      </w:pPr>
      <w:r>
        <w:t xml:space="preserve">(in parallel) POSTs result JSON to caller's</w:t>
      </w:r>
      <w:r>
        <w:t xml:space="preserve"> </w:t>
      </w:r>
      <w:r>
        <w:rPr>
          <w:rStyle w:val="VerbatimChar"/>
        </w:rPr>
        <w:t xml:space="preserve">callbackUrl</w:t>
      </w:r>
      <w:r>
        <w:t xml:space="preserve"> </w:t>
      </w:r>
      <w:r>
        <w:t xml:space="preserve">if supplied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Caller</w:t>
      </w:r>
      <w:r>
        <w:t xml:space="preserve"> </w:t>
      </w:r>
      <w:r>
        <w:t xml:space="preserve">receives the result via the message listener it registered, or polls</w:t>
      </w:r>
      <w:r>
        <w:t xml:space="preserve"> </w:t>
      </w:r>
      <w:r>
        <w:rPr>
          <w:rStyle w:val="VerbatimChar"/>
        </w:rPr>
        <w:t xml:space="preserve">GET /api/transactions/{id}</w:t>
      </w:r>
      <w:r>
        <w:t xml:space="preserve"> </w:t>
      </w:r>
      <w:r>
        <w:t xml:space="preserve">for status.</w:t>
      </w:r>
    </w:p>
    <w:bookmarkEnd w:id="16"/>
    <w:bookmarkStart w:id="17" w:name="swapping-the-mock-for-real-mcg"/>
    <w:p>
      <w:pPr>
        <w:pStyle w:val="Heading2"/>
      </w:pPr>
      <w:r>
        <w:t xml:space="preserve">Swapping the mock for real MCG</w:t>
      </w:r>
    </w:p>
    <w:p>
      <w:pPr>
        <w:pStyle w:val="FirstParagraph"/>
      </w:pPr>
      <w:r>
        <w:t xml:space="preserve">When you receive MCG keys, change</w:t>
      </w:r>
      <w:r>
        <w:t xml:space="preserve"> </w:t>
      </w:r>
      <w:r>
        <w:rPr>
          <w:b/>
          <w:bCs/>
        </w:rPr>
        <w:t xml:space="preserve">three values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src/MCGCareWEBQI.Bridge/appsettings.json</w:t>
      </w:r>
      <w:r>
        <w:t xml:space="preserve">. No code change.</w:t>
      </w:r>
    </w:p>
    <w:p>
      <w:pPr>
        <w:pStyle w:val="SourceCode"/>
      </w:pPr>
      <w:r>
        <w:rPr>
          <w:rStyle w:val="VerbatimChar"/>
        </w:rPr>
        <w:t xml:space="preserve">"Mcg": {</w:t>
      </w:r>
      <w:r>
        <w:br/>
      </w:r>
      <w:r>
        <w:rPr>
          <w:rStyle w:val="VerbatimChar"/>
        </w:rPr>
        <w:t xml:space="preserve">  "InterfaceLoginUrl": "https://&lt;your-tenant&gt;.carewebqi.com/interface/interfacelogin.aspx",</w:t>
      </w:r>
      <w:r>
        <w:br/>
      </w:r>
      <w:r>
        <w:rPr>
          <w:rStyle w:val="VerbatimChar"/>
        </w:rPr>
        <w:t xml:space="preserve">  "WebServicesUrl":    "https://&lt;your-tenant&gt;.carewebqi.com/WebServices/Reconcile.asmx",</w:t>
      </w:r>
      <w:r>
        <w:br/>
      </w:r>
      <w:r>
        <w:rPr>
          <w:rStyle w:val="VerbatimChar"/>
        </w:rPr>
        <w:t xml:space="preserve">  "LoginKey":          "&lt;your-interface-key&gt;"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mock can stop running. The bridge will sign every POST with your interface key</w:t>
      </w:r>
      <w:r>
        <w:t xml:space="preserve"> </w:t>
      </w:r>
      <w:r>
        <w:t xml:space="preserve">and submit to the real CareWebQI tenant. Everything else — request payload format,</w:t>
      </w:r>
      <w:r>
        <w:t xml:space="preserve"> </w:t>
      </w:r>
      <w:r>
        <w:t xml:space="preserve">hash algorithm, CwqiMessage shape, Reconcile SOAP contract — already conforms to</w:t>
      </w:r>
      <w:r>
        <w:t xml:space="preserve"> </w:t>
      </w:r>
      <w:r>
        <w:t xml:space="preserve">the CareWebQI 12.0 Developer's Guide.</w:t>
      </w:r>
    </w:p>
    <w:bookmarkEnd w:id="17"/>
    <w:bookmarkStart w:id="30" w:name="documentation"/>
    <w:p>
      <w:pPr>
        <w:pStyle w:val="Heading2"/>
      </w:pPr>
      <w:r>
        <w:t xml:space="preserve">Documentation</w:t>
      </w:r>
    </w:p>
    <w:bookmarkStart w:id="23" w:name="for-the-engineering-team-taking-over"/>
    <w:p>
      <w:pPr>
        <w:pStyle w:val="Heading3"/>
      </w:pPr>
      <w:r>
        <w:t xml:space="preserve">For the engineering team taking 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docs/HANDOVER-RUN-SAMPLE.md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here.</w:t>
            </w:r>
            <w:r>
              <w:t xml:space="preserve"> </w:t>
            </w:r>
            <w:r>
              <w:t xml:space="preserve">10-minute setup to get the sample running locally end-to-end.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docs/HANDOVER-ANGULAR-INTEGRATION.md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second.</w:t>
            </w:r>
            <w:r>
              <w:t xml:space="preserve"> </w:t>
            </w:r>
            <w:r>
              <w:t xml:space="preserve">Full integration guide with TypeScript / Angular code for EvokeConnect.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docs/INTEGRATION.md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Caller-agnostic HTTP contract (launch URL, result JSON, delivery modes).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docs/CONFIG.md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key, mapped to its Dev Guide section.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docs/PRODUCTION-DEPLOYMENT.md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Swap procedure when real MCG keys + tenant URL arrive.</w:t>
            </w:r>
          </w:p>
        </w:tc>
      </w:tr>
    </w:tbl>
    <w:bookmarkEnd w:id="23"/>
    <w:bookmarkStart w:id="29" w:name="for-mcg-certification"/>
    <w:p>
      <w:pPr>
        <w:pStyle w:val="Heading3"/>
      </w:pPr>
      <w:r>
        <w:t xml:space="preserve">For MCG certification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docs/CERT-PREREQ.md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MCG-tenant Application Settings + bridge config cross-reference.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docs/CERT-CHECKLIST.md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Every Appendix A cert step mapped to our solution.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docs/CERT-DRY-RUN-SCRIPT.md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Step-by-step internal walkthrough using the mock.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docs/CERT-FORMAL-SIGN-OFF.md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Printable Pass/Fail form for the MCG cert reviewer.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docs/CERTIFICATION-CHECKLIST.md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Legacy Dev Guide Appendix A self-check (kept for completeness).</w:t>
            </w:r>
          </w:p>
        </w:tc>
      </w:tr>
    </w:tbl>
    <w:bookmarkEnd w:id="29"/>
    <w:bookmarkEnd w:id="30"/>
    <w:bookmarkStart w:id="31" w:name="whats-intentionally-not-here"/>
    <w:p>
      <w:pPr>
        <w:pStyle w:val="Heading2"/>
      </w:pPr>
      <w:r>
        <w:t xml:space="preserve">What's intentionally NOT here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Caller-specific business-object DLLs.</w:t>
      </w:r>
      <w:r>
        <w:t xml:space="preserve"> </w:t>
      </w:r>
      <w:r>
        <w:t xml:space="preserve">Original code linked to compiled</w:t>
      </w:r>
      <w:r>
        <w:t xml:space="preserve"> </w:t>
      </w:r>
      <w:r>
        <w:t xml:space="preserve">EntitySpaces-based DLLs from the prior host application. The new design doesn't</w:t>
      </w:r>
      <w:r>
        <w:t xml:space="preserve"> </w:t>
      </w:r>
      <w:r>
        <w:t xml:space="preserve">write into any caller's tables — it owns its own</w:t>
      </w:r>
      <w:r>
        <w:t xml:space="preserve"> </w:t>
      </w:r>
      <w:r>
        <w:rPr>
          <w:rStyle w:val="VerbatimChar"/>
        </w:rPr>
        <w:t xml:space="preserve">IntegrationTransaction</w:t>
      </w:r>
      <w:r>
        <w:t xml:space="preserve"> </w:t>
      </w:r>
      <w:r>
        <w:t xml:space="preserve">table only.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EntitySpaces.</w:t>
      </w:r>
      <w:r>
        <w:t xml:space="preserve"> </w:t>
      </w:r>
      <w:r>
        <w:t xml:space="preserve">Replaced with EF Core 10 / LINQ.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ASP.NET Web Forms.</w:t>
      </w:r>
      <w:r>
        <w:t xml:space="preserve"> </w:t>
      </w:r>
      <w:r>
        <w:t xml:space="preserve">Replaced with Blazor Server + minimal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Pixel-perfect MCG UI.</w:t>
      </w:r>
      <w:r>
        <w:t xml:space="preserve"> </w:t>
      </w:r>
      <w:r>
        <w:t xml:space="preserve">Mock UI is functional and labeled correctly. When you</w:t>
      </w:r>
      <w:r>
        <w:t xml:space="preserve"> </w:t>
      </w:r>
      <w:r>
        <w:t xml:space="preserve">send screenshots, we can match the layout.</w:t>
      </w:r>
    </w:p>
    <w:bookmarkEnd w:id="31"/>
    <w:bookmarkStart w:id="32" w:name="stack"/>
    <w:p>
      <w:pPr>
        <w:pStyle w:val="Heading2"/>
      </w:pPr>
      <w:r>
        <w:t xml:space="preserve">Stack</w:t>
      </w:r>
    </w:p>
    <w:p>
      <w:pPr>
        <w:pStyle w:val="Compact"/>
        <w:numPr>
          <w:ilvl w:val="0"/>
          <w:numId w:val="1004"/>
        </w:numPr>
      </w:pPr>
      <w:r>
        <w:t xml:space="preserve">.NET 10 (</w:t>
      </w:r>
      <w:r>
        <w:rPr>
          <w:rStyle w:val="VerbatimChar"/>
        </w:rPr>
        <w:t xml:space="preserve">net10.0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ASP.NET Core 10, Blazor Server (interactive)</w:t>
      </w:r>
    </w:p>
    <w:p>
      <w:pPr>
        <w:pStyle w:val="Compact"/>
        <w:numPr>
          <w:ilvl w:val="0"/>
          <w:numId w:val="1004"/>
        </w:numPr>
      </w:pPr>
      <w:r>
        <w:t xml:space="preserve">Entity Framework Core 10 + SQL Server (LocalDB for dev)</w:t>
      </w:r>
    </w:p>
    <w:p>
      <w:pPr>
        <w:pStyle w:val="Compact"/>
        <w:numPr>
          <w:ilvl w:val="0"/>
          <w:numId w:val="1004"/>
        </w:numPr>
      </w:pPr>
      <w:r>
        <w:t xml:space="preserve">CoreWCF 1.x for SOAP server (</w:t>
      </w:r>
      <w:r>
        <w:rPr>
          <w:rStyle w:val="VerbatimChar"/>
        </w:rPr>
        <w:t xml:space="preserve">Reconcile.asmx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MudBlazor 9.4 for UI components (Material 3)</w:t>
      </w:r>
    </w:p>
    <w:p>
      <w:pPr>
        <w:pStyle w:val="Compact"/>
        <w:numPr>
          <w:ilvl w:val="0"/>
          <w:numId w:val="1004"/>
        </w:numPr>
      </w:pPr>
      <w:r>
        <w:t xml:space="preserve">Serilog for logging (console + rolling file in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xUnit for tests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ocs/CERT-CHECKLIST.md" TargetMode="External" /><Relationship Type="http://schemas.openxmlformats.org/officeDocument/2006/relationships/hyperlink" Id="rId26" Target="docs/CERT-DRY-RUN-SCRIPT.md" TargetMode="External" /><Relationship Type="http://schemas.openxmlformats.org/officeDocument/2006/relationships/hyperlink" Id="rId27" Target="docs/CERT-FORMAL-SIGN-OFF.md" TargetMode="External" /><Relationship Type="http://schemas.openxmlformats.org/officeDocument/2006/relationships/hyperlink" Id="rId24" Target="docs/CERT-PREREQ.md" TargetMode="External" /><Relationship Type="http://schemas.openxmlformats.org/officeDocument/2006/relationships/hyperlink" Id="rId28" Target="docs/CERTIFICATION-CHECKLIST.md" TargetMode="External" /><Relationship Type="http://schemas.openxmlformats.org/officeDocument/2006/relationships/hyperlink" Id="rId21" Target="docs/CONFIG.md" TargetMode="External" /><Relationship Type="http://schemas.openxmlformats.org/officeDocument/2006/relationships/hyperlink" Id="rId19" Target="docs/HANDOVER-ANGULAR-INTEGRATION.md" TargetMode="External" /><Relationship Type="http://schemas.openxmlformats.org/officeDocument/2006/relationships/hyperlink" Id="rId18" Target="docs/HANDOVER-RUN-SAMPLE.md" TargetMode="External" /><Relationship Type="http://schemas.openxmlformats.org/officeDocument/2006/relationships/hyperlink" Id="rId20" Target="docs/INTEGRATION.md" TargetMode="External" /><Relationship Type="http://schemas.openxmlformats.org/officeDocument/2006/relationships/hyperlink" Id="rId22" Target="docs/PRODUCTION-DEPLOYMENT.md" TargetMode="External" /><Relationship Type="http://schemas.openxmlformats.org/officeDocument/2006/relationships/hyperlink" Id="rId11" Target="src/MCGCareWEBQI.Bridge" TargetMode="External" /><Relationship Type="http://schemas.openxmlformats.org/officeDocument/2006/relationships/hyperlink" Id="rId10" Target="src/MCGCareWEBQI.Data" TargetMode="External" /><Relationship Type="http://schemas.openxmlformats.org/officeDocument/2006/relationships/hyperlink" Id="rId12" Target="src/MCGCareWEBQI.MockServer" TargetMode="External" /><Relationship Type="http://schemas.openxmlformats.org/officeDocument/2006/relationships/hyperlink" Id="rId9" Target="src/MCGCareWEBQI.Shared" TargetMode="External" /><Relationship Type="http://schemas.openxmlformats.org/officeDocument/2006/relationships/hyperlink" Id="rId13" Target="tests/MCGCareWEBQI.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ocs/CERT-CHECKLIST.md" TargetMode="External" /><Relationship Type="http://schemas.openxmlformats.org/officeDocument/2006/relationships/hyperlink" Id="rId26" Target="docs/CERT-DRY-RUN-SCRIPT.md" TargetMode="External" /><Relationship Type="http://schemas.openxmlformats.org/officeDocument/2006/relationships/hyperlink" Id="rId27" Target="docs/CERT-FORMAL-SIGN-OFF.md" TargetMode="External" /><Relationship Type="http://schemas.openxmlformats.org/officeDocument/2006/relationships/hyperlink" Id="rId24" Target="docs/CERT-PREREQ.md" TargetMode="External" /><Relationship Type="http://schemas.openxmlformats.org/officeDocument/2006/relationships/hyperlink" Id="rId28" Target="docs/CERTIFICATION-CHECKLIST.md" TargetMode="External" /><Relationship Type="http://schemas.openxmlformats.org/officeDocument/2006/relationships/hyperlink" Id="rId21" Target="docs/CONFIG.md" TargetMode="External" /><Relationship Type="http://schemas.openxmlformats.org/officeDocument/2006/relationships/hyperlink" Id="rId19" Target="docs/HANDOVER-ANGULAR-INTEGRATION.md" TargetMode="External" /><Relationship Type="http://schemas.openxmlformats.org/officeDocument/2006/relationships/hyperlink" Id="rId18" Target="docs/HANDOVER-RUN-SAMPLE.md" TargetMode="External" /><Relationship Type="http://schemas.openxmlformats.org/officeDocument/2006/relationships/hyperlink" Id="rId20" Target="docs/INTEGRATION.md" TargetMode="External" /><Relationship Type="http://schemas.openxmlformats.org/officeDocument/2006/relationships/hyperlink" Id="rId22" Target="docs/PRODUCTION-DEPLOYMENT.md" TargetMode="External" /><Relationship Type="http://schemas.openxmlformats.org/officeDocument/2006/relationships/hyperlink" Id="rId11" Target="src/MCGCareWEBQI.Bridge" TargetMode="External" /><Relationship Type="http://schemas.openxmlformats.org/officeDocument/2006/relationships/hyperlink" Id="rId10" Target="src/MCGCareWEBQI.Data" TargetMode="External" /><Relationship Type="http://schemas.openxmlformats.org/officeDocument/2006/relationships/hyperlink" Id="rId12" Target="src/MCGCareWEBQI.MockServer" TargetMode="External" /><Relationship Type="http://schemas.openxmlformats.org/officeDocument/2006/relationships/hyperlink" Id="rId9" Target="src/MCGCareWEBQI.Shared" TargetMode="External" /><Relationship Type="http://schemas.openxmlformats.org/officeDocument/2006/relationships/hyperlink" Id="rId13" Target="tests/MCGCareWEBQI.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2026-05-19T11:22:30Z</dcterms:created>
  <dcterms:modified xsi:type="dcterms:W3CDTF">2026-05-19T11:22:30Z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