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3dd377113f7838d3c842191248315e5be0eb7c"/>
    <w:p>
      <w:pPr>
        <w:pStyle w:val="Heading1"/>
      </w:pPr>
      <w:r>
        <w:t xml:space="preserve">MCG CareWebQI Certification — Formal Sign-Off Form</w:t>
      </w:r>
    </w:p>
    <w:p>
      <w:pPr>
        <w:pStyle w:val="FirstParagraph"/>
      </w:pPr>
      <w:r>
        <w:t xml:space="preserve">Hand this form to the MCG cert reviewer (or use internally to attest readiness).</w:t>
      </w:r>
      <w:r>
        <w:t xml:space="preserve"> </w:t>
      </w:r>
      <w:r>
        <w:t xml:space="preserve">Each item references the</w:t>
      </w:r>
      <w:r>
        <w:t xml:space="preserve"> </w:t>
      </w:r>
      <w:r>
        <w:rPr>
          <w:i/>
          <w:iCs/>
        </w:rPr>
        <w:t xml:space="preserve">CareWebQI Certification Script Checklist v10.0</w:t>
      </w:r>
      <w:r>
        <w:t xml:space="preserve">, Appendix A.</w:t>
      </w:r>
    </w:p>
    <w:p>
      <w:r>
        <w:pict>
          <v:rect style="width:0;height:1.5pt" o:hralign="center" o:hrstd="t" o:hr="t"/>
        </w:pict>
      </w:r>
    </w:p>
    <w:bookmarkStart w:id="9" w:name="cover"/>
    <w:p>
      <w:pPr>
        <w:pStyle w:val="Heading2"/>
      </w:pPr>
      <w:r>
        <w:t xml:space="preserve">Cover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version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URL (production)</w:t>
            </w:r>
          </w:p>
        </w:tc>
        <w:tc>
          <w:tcPr/>
          <w:p>
            <w:pPr>
              <w:pStyle w:val="Compact"/>
            </w:pPr>
            <w:r>
              <w:t xml:space="preserve">https://mcg-bridge.________________________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MCG tenant URL</w:t>
            </w:r>
          </w:p>
        </w:tc>
        <w:tc>
          <w:tcPr/>
          <w:p>
            <w:pPr>
              <w:pStyle w:val="Compact"/>
            </w:pPr>
            <w:r>
              <w:t xml:space="preserve">https://_________________.carewebqi.com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CareWebQI content version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date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reviewer (MCG side)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 (our side)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16dd9a01f0376bccbc5e6fdc024346473d23a14"/>
    <w:p>
      <w:pPr>
        <w:pStyle w:val="Heading2"/>
      </w:pPr>
      <w:r>
        <w:t xml:space="preserve">Section A — Tenant-side Application Settings (per cert prerequisites)</w:t>
      </w:r>
    </w:p>
    <w:p>
      <w:pPr>
        <w:pStyle w:val="FirstParagraph"/>
      </w:pPr>
      <w:r>
        <w:t xml:space="preserve">Confirm with your MCG Technical Support contact that the following are configured: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Confirmed (initial)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Documentable Definitions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Variance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the Simplified Discharge Workflow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Notes Deletion</w:t>
            </w:r>
          </w:p>
        </w:tc>
        <w:tc>
          <w:tcPr/>
          <w:p>
            <w:pPr>
              <w:pStyle w:val="Compact"/>
            </w:pPr>
            <w:r>
              <w:t xml:space="preserve">On - Delete notes with strikethrough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non-consecutive day documentation of recovery course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Interface: Hash Type</w:t>
            </w:r>
          </w:p>
        </w:tc>
        <w:tc>
          <w:tcPr/>
          <w:p>
            <w:pPr>
              <w:pStyle w:val="Compact"/>
            </w:pPr>
            <w:r>
              <w:t xml:space="preserve">SHA256 or SHA512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Interface: Response Type</w:t>
            </w:r>
          </w:p>
        </w:tc>
        <w:tc>
          <w:tcPr/>
          <w:p>
            <w:pPr>
              <w:pStyle w:val="Compact"/>
            </w:pPr>
            <w:r>
              <w:t xml:space="preserve">RedirectOnly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Interface: Allow Patient Merge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discharged episode workflow</w:t>
            </w:r>
          </w:p>
        </w:tc>
        <w:tc>
          <w:tcPr/>
          <w:p>
            <w:pPr>
              <w:pStyle w:val="Compact"/>
            </w:pPr>
            <w:r>
              <w:t xml:space="preserve">Auto-undischarge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0ac1c7500c47a2f8c39490c5c500b674d56670"/>
    <w:p>
      <w:pPr>
        <w:pStyle w:val="Heading2"/>
      </w:pPr>
      <w:r>
        <w:t xml:space="preserve">Section B — Bridge configuration &amp;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running on</w:t>
            </w:r>
            <w:r>
              <w:t xml:space="preserve"> </w:t>
            </w:r>
            <w:r>
              <w:rPr>
                <w:rStyle w:val="VerbatimChar"/>
              </w:rPr>
              <w:t xml:space="preserve">net10.0</w:t>
            </w:r>
            <w:r>
              <w:t xml:space="preserve">, all unit tests green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YARP reverse proxy configured to upstream MCG tenant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Mcg:LoginKey</w:t>
            </w:r>
            <w:r>
              <w:t xml:space="preserve"> </w:t>
            </w:r>
            <w:r>
              <w:t xml:space="preserve">sourced from secret store (not source control)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Bridge:AllowedCallerOrigins</w:t>
            </w:r>
            <w:r>
              <w:t xml:space="preserve"> </w:t>
            </w:r>
            <w:r>
              <w:t xml:space="preserve">set to explicit caller origins (not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Bridge:PublicBaseUrl</w:t>
            </w:r>
            <w:r>
              <w:t xml:space="preserve"> </w:t>
            </w:r>
            <w:r>
              <w:t xml:space="preserve">matches the public TLS endpoint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db/schema.sql</w:t>
            </w:r>
            <w:r>
              <w:t xml:space="preserve"> </w:t>
            </w:r>
            <w:r>
              <w:t xml:space="preserve">applied to production SQL Server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Iframe-blocking response headers stripped at proxy (X-Frame-Options, CSP, COOP)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termination + HTTPS-only redirect configured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section-c--cert-script-walkthrough"/>
    <w:p>
      <w:pPr>
        <w:pStyle w:val="Heading2"/>
      </w:pPr>
      <w:r>
        <w:t xml:space="preserve">Section C — Cert script walkthrough</w:t>
      </w:r>
    </w:p>
    <w:p>
      <w:pPr>
        <w:pStyle w:val="FirstParagraph"/>
      </w:pPr>
      <w:r>
        <w:t xml:space="preserve">For each cert section, record the cert reviewer's pass/fail verdict.</w:t>
      </w:r>
    </w:p>
    <w:bookmarkStart w:id="12" w:name="section-1--create-an-episode-cert-p68-69"/>
    <w:p>
      <w:pPr>
        <w:pStyle w:val="Heading3"/>
      </w:pPr>
      <w:r>
        <w:t xml:space="preserve">Section 1 — Create an episode (cert p68-69)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Launch CareWebQI with G44.001, Documentation type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ICD-10 code passed, guideline search results displayed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Partner episode ID matches CareWebQI episode ID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Admission date in Actual Admit Date field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Gender + address abbreviations pass through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12"/>
    <w:bookmarkStart w:id="13" w:name="section-2--mcr-guideline-cert-p69-70"/>
    <w:p>
      <w:pPr>
        <w:pStyle w:val="Heading3"/>
      </w:pPr>
      <w:r>
        <w:t xml:space="preserve">Section 2 — MCR guideline (cert p69-70)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MCR guidelines first in search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Add MCR-031 to episode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Document covered + non-covered indications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Partner-app validates response + episode summary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Repeat for covered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Repeat for covered + non-covered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13"/>
    <w:bookmarkStart w:id="14" w:name="Xee4c0f16fd22fee009470328caa783087da48f1"/>
    <w:p>
      <w:pPr>
        <w:pStyle w:val="Heading3"/>
      </w:pPr>
      <w:r>
        <w:t xml:space="preserve">Section 3 — ISC guideline with M-282 + S-535 (cert p70-75)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Add M-282; Benchmark/Print/Calculator open without error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Document Clinical Indications, notes, definition, calculator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Document Optimal Recovery Course Day 1 + variance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Day 2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Episode notes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Partner-app verifies episode info returned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Add second guideline S-535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Document Optimal Recovery Course for S-535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Delete indication note (strikethrough)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Delete clinical note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— Add non-consecutive day for second guideline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— Delete episode note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— Partner-app validates additional day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— Re-launch episode + add 3/19/2018 care date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— Partner-app validates deleted day NOT returned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14"/>
    <w:bookmarkStart w:id="15" w:name="Xf2a7401096ad10b7802015cb58bce922f87a7fe"/>
    <w:p>
      <w:pPr>
        <w:pStyle w:val="Heading3"/>
      </w:pPr>
      <w:r>
        <w:t xml:space="preserve">Section 4 — ISC with Mandatory Variance OFF (cert p75-79)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11 steps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15"/>
    <w:bookmarkStart w:id="16" w:name="Xfca76a9ee9b557885ca51114a6f1842a13b95a2"/>
    <w:p>
      <w:pPr>
        <w:pStyle w:val="Heading3"/>
      </w:pPr>
      <w:r>
        <w:t xml:space="preserve">Section 5 — Rapid Review Guideline (cert p79-80)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Add M-190RRG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Document Clinical Indications, Observation Care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Discharge Readiness — multi-stage with variance + Discharge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Add M-40RRG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Discharge Readiness for M-40RRG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Partner-app verifies Discharge Readiness criteria in XML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16"/>
    <w:bookmarkStart w:id="17" w:name="X1b7777f50a4a4e77adfdbe4e44547a5c84785cd"/>
    <w:p>
      <w:pPr>
        <w:pStyle w:val="Heading3"/>
      </w:pPr>
      <w:r>
        <w:t xml:space="preserve">Section 6 — General Recovery Care (cert p80-82)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Launch new episode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Add PG-ONC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Document Clinical Indications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Document General Recovery Course with variance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5–7 — PG-MTR variant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— Stage 2 documentation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— Partner-app verifies info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17"/>
    <w:bookmarkStart w:id="18" w:name="section-7--patient-merge-cert-p82-83"/>
    <w:p>
      <w:pPr>
        <w:pStyle w:val="Heading3"/>
      </w:pPr>
      <w:r>
        <w:t xml:space="preserve">Section 7 — Patient merge (cert p82-83)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Reviewer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1a–c — Launch + document + Exit with temp patient ID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 — Update patient ID in partner app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1e–f — Re-launch + select No on merge prompt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1g — Verify "Episode can't be reassigned…" message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1h–i — Re-launch + select Yes to merge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1j — Verify corrected patient ID shown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section-d--sign-off"/>
    <w:p>
      <w:pPr>
        <w:pStyle w:val="Heading2"/>
      </w:pPr>
      <w:r>
        <w:t xml:space="preserve">Section D — Sign-off</w:t>
      </w:r>
    </w:p>
    <w:p>
      <w:pPr>
        <w:pStyle w:val="FirstParagraph"/>
      </w:pPr>
      <w:r>
        <w:t xml:space="preserve">By signing below, MCG cert reviewer confirms the partner integration meets the</w:t>
      </w:r>
      <w:r>
        <w:t xml:space="preserve"> </w:t>
      </w:r>
      <w:r>
        <w:t xml:space="preserve">minimum requirements of CareWebQI Certification Checklist v10.0.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MCG Cert Reviewer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Engineering Lead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Business Owner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/ Conditions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_________________________________________________________________________________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2026-05-19T11:22:31Z</dcterms:created>
  <dcterms:modified xsi:type="dcterms:W3CDTF">2026-05-19T11:22:31Z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