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X7eb8e9da300e9283b0d3db7876b08b4d08aa5f5"/>
    <w:p>
      <w:pPr>
        <w:pStyle w:val="Heading1"/>
      </w:pPr>
      <w:r>
        <w:t xml:space="preserve">MCG CareWebQI Certification — Prerequisites</w:t>
      </w:r>
    </w:p>
    <w:p>
      <w:pPr>
        <w:pStyle w:val="FirstParagraph"/>
      </w:pPr>
      <w:r>
        <w:t xml:space="preserve">This document maps every MCG-side Application Setting from the</w:t>
      </w:r>
      <w:r>
        <w:t xml:space="preserve"> </w:t>
      </w:r>
      <w:r>
        <w:rPr>
          <w:i/>
          <w:iCs/>
        </w:rPr>
        <w:t xml:space="preserve">CareWebQI Certification</w:t>
      </w:r>
      <w:r>
        <w:rPr>
          <w:i/>
          <w:iCs/>
        </w:rPr>
        <w:t xml:space="preserve"> </w:t>
      </w:r>
      <w:r>
        <w:rPr>
          <w:i/>
          <w:iCs/>
        </w:rPr>
        <w:t xml:space="preserve">Script Checklist v10.0</w:t>
      </w:r>
      <w:r>
        <w:t xml:space="preserve"> </w:t>
      </w:r>
      <w:r>
        <w:t xml:space="preserve">(page 68, "Certification prerequisites") to where the same</w:t>
      </w:r>
      <w:r>
        <w:t xml:space="preserve"> </w:t>
      </w:r>
      <w:r>
        <w:t xml:space="preserve">behavior lives in this bridge.</w:t>
      </w:r>
    </w:p>
    <w:p>
      <w:pPr>
        <w:pStyle w:val="BodyText"/>
      </w:pPr>
      <w:r>
        <w:t xml:space="preserve">When real MCG cert begins, two checklists need to be confirmed: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MCG-tenant settings</w:t>
      </w:r>
      <w:r>
        <w:t xml:space="preserve"> </w:t>
      </w:r>
      <w:r>
        <w:t xml:space="preserve">that MCG Technical Support configures inside the CareWebQI Admin UI.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Bridge settings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 </w:t>
      </w:r>
      <w:r>
        <w:t xml:space="preserve">that drive the partner-app side.</w:t>
      </w:r>
    </w:p>
    <w:p>
      <w:r>
        <w:pict>
          <v:rect style="width:0;height:1.5pt" o:hralign="center" o:hrstd="t" o:hr="t"/>
        </w:pict>
      </w:r>
    </w:p>
    <w:bookmarkStart w:id="10" w:name="Xe875142ff904768bfff7095366ef7c0048f6ad0"/>
    <w:p>
      <w:pPr>
        <w:pStyle w:val="Heading2"/>
      </w:pPr>
      <w:r>
        <w:t xml:space="preserve">1. MCG-tenant Application Settings</w:t>
      </w:r>
    </w:p>
    <w:p>
      <w:pPr>
        <w:pStyle w:val="FirstParagraph"/>
      </w:pPr>
      <w:r>
        <w:t xml:space="preserve">MCG cert team will verify these inside CareWebQI:</w:t>
      </w:r>
      <w:r>
        <w:t xml:space="preserve"> </w:t>
      </w:r>
      <w:r>
        <w:rPr>
          <w:rStyle w:val="VerbatimChar"/>
        </w:rPr>
        <w:t xml:space="preserve">Admin link &gt; Configuration Administrator &gt; Application Setting Administrator</w:t>
      </w:r>
      <w:r>
        <w:t xml:space="preserve">.</w:t>
      </w:r>
    </w:p>
    <w:p>
      <w:pPr>
        <w:pStyle w:val="BodyText"/>
      </w:pPr>
      <w:r>
        <w:t xml:space="preserve">These are</w:t>
      </w:r>
      <w:r>
        <w:t xml:space="preserve"> </w:t>
      </w:r>
      <w:r>
        <w:rPr>
          <w:b/>
          <w:bCs/>
        </w:rPr>
        <w:t xml:space="preserve">not under our control</w:t>
      </w:r>
      <w:r>
        <w:t xml:space="preserve"> </w:t>
      </w:r>
      <w:r>
        <w:t xml:space="preserve">— they get configured by your MCG account team</w:t>
      </w:r>
      <w:r>
        <w:t xml:space="preserve"> </w:t>
      </w:r>
      <w:r>
        <w:t xml:space="preserve">before cert begins. Documented here for completeness so you can request them by name.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Required value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Documentable Definitions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Lets clinicians document inside definition popups (cert §3 step 2d).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Mandatory Variance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Forces a Variance category/reason when a milestone is not met (cert §3 step 3j).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 the Simplified Discharge Workflow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Enables the streamlined Exit flow used throughout cert.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 Notes Deletion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 - Delete notes with strikethrough</w:t>
            </w:r>
          </w:p>
        </w:tc>
        <w:tc>
          <w:tcPr/>
          <w:p>
            <w:pPr>
              <w:pStyle w:val="Compact"/>
            </w:pPr>
            <w:r>
              <w:t xml:space="preserve">Cert §3 steps 9, 10, 12 delete notes; they must survive as strikethrough.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 non-consecutive day documentation of recovery course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Cert §3 step 11 adds care dates out of sequence.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Interface: Hash Type (SHA1/MD5/SHA256/SHA512)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SHA512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SHA256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Bridge sends</w:t>
            </w:r>
            <w:r>
              <w:t xml:space="preserve"> </w:t>
            </w:r>
            <w:r>
              <w:rPr>
                <w:rStyle w:val="VerbatimChar"/>
              </w:rPr>
              <w:t xml:space="preserve">messageHash</w:t>
            </w:r>
            <w:r>
              <w:t xml:space="preserve"> </w:t>
            </w:r>
            <w:r>
              <w:t xml:space="preserve">using this algorithm.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Interface: Response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RedirectOnly</w:t>
            </w:r>
          </w:p>
        </w:tc>
        <w:tc>
          <w:tcPr/>
          <w:p>
            <w:pPr>
              <w:pStyle w:val="Compact"/>
            </w:pPr>
            <w:r>
              <w:t xml:space="preserve">Cert flow expects redirect-only response posting back to the bridge.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Interface: Allow Patient Merge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(default is False)</w:t>
            </w:r>
          </w:p>
        </w:tc>
        <w:tc>
          <w:tcPr/>
          <w:p>
            <w:pPr>
              <w:pStyle w:val="Compact"/>
            </w:pPr>
            <w:r>
              <w:t xml:space="preserve">Cert §7 walks the merge prompt — must be enabled.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 discharged episode workflow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Auto-undischarge</w:t>
            </w:r>
          </w:p>
        </w:tc>
        <w:tc>
          <w:tcPr/>
          <w:p>
            <w:pPr>
              <w:pStyle w:val="Compact"/>
            </w:pPr>
            <w:r>
              <w:t xml:space="preserve">Cert §3 (variance OFF block) re-opens a discharged episode.</w:t>
            </w:r>
          </w:p>
        </w:tc>
      </w:tr>
    </w:tbl>
    <w:bookmarkStart w:id="9" w:name="how-to-request-these-from-mcg"/>
    <w:p>
      <w:pPr>
        <w:pStyle w:val="Heading3"/>
      </w:pPr>
      <w:r>
        <w:t xml:space="preserve">How to request these from MCG</w:t>
      </w:r>
    </w:p>
    <w:p>
      <w:pPr>
        <w:pStyle w:val="FirstParagraph"/>
      </w:pPr>
      <w:r>
        <w:t xml:space="preserve">Email MCG Technical Support before cert with the table above. They'll confirm in</w:t>
      </w:r>
      <w:r>
        <w:t xml:space="preserve"> </w:t>
      </w:r>
      <w:r>
        <w:t xml:space="preserve">writing that your tenant matches. Keep that email — the cert reviewer will ask.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6" w:name="X512046077e4315b8afbd9c0d231976130498d5f"/>
    <w:p>
      <w:pPr>
        <w:pStyle w:val="Heading2"/>
      </w:pPr>
      <w:r>
        <w:t xml:space="preserve">2. Bridge-side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 </w:t>
      </w:r>
      <w:r>
        <w:t xml:space="preserve">settings</w:t>
      </w:r>
    </w:p>
    <w:p>
      <w:pPr>
        <w:pStyle w:val="FirstParagraph"/>
      </w:pPr>
      <w:r>
        <w:t xml:space="preserve">These are under our control. They map 1:1 to the MCG settings on the right.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"ConnectionStrings": {</w:t>
      </w:r>
      <w:r>
        <w:br/>
      </w:r>
      <w:r>
        <w:rPr>
          <w:rStyle w:val="VerbatimChar"/>
        </w:rPr>
        <w:t xml:space="preserve">    "Default": "Server=&lt;prod-sql&gt;;Database=MCGBridge;User Id=...;Password=...;"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"Mcg": {</w:t>
      </w:r>
      <w:r>
        <w:br/>
      </w:r>
      <w:r>
        <w:rPr>
          <w:rStyle w:val="VerbatimChar"/>
        </w:rPr>
        <w:t xml:space="preserve">    // The reverse-proxy upstream. Bridge forwards /__mcg/* to this host.</w:t>
      </w:r>
      <w:r>
        <w:br/>
      </w:r>
      <w:r>
        <w:rPr>
          <w:rStyle w:val="VerbatimChar"/>
        </w:rPr>
        <w:t xml:space="preserve">    "UpstreamHost":      "https://tenant.carewebqi.com",</w:t>
      </w:r>
      <w:r>
        <w:br/>
      </w:r>
      <w:r>
        <w:br/>
      </w:r>
      <w:r>
        <w:rPr>
          <w:rStyle w:val="VerbatimChar"/>
        </w:rPr>
        <w:t xml:space="preserve">    // These two stay on the bridge's domain — they go through the proxy.</w:t>
      </w:r>
      <w:r>
        <w:br/>
      </w:r>
      <w:r>
        <w:rPr>
          <w:rStyle w:val="VerbatimChar"/>
        </w:rPr>
        <w:t xml:space="preserve">    "InterfaceLoginUrl": "https://mcg-bridge.your-org.com/__mcg/interface/interfacelogin.aspx",</w:t>
      </w:r>
      <w:r>
        <w:br/>
      </w:r>
      <w:r>
        <w:rPr>
          <w:rStyle w:val="VerbatimChar"/>
        </w:rPr>
        <w:t xml:space="preserve">    "WebServicesUrl":    "https://mcg-bridge.your-org.com/__mcg/WebServices/Reconcile.asmx",</w:t>
      </w:r>
      <w:r>
        <w:br/>
      </w:r>
      <w:r>
        <w:br/>
      </w:r>
      <w:r>
        <w:rPr>
          <w:rStyle w:val="VerbatimChar"/>
        </w:rPr>
        <w:t xml:space="preserve">    // Pulled from your secret store at runtime — NEVER commit.</w:t>
      </w:r>
      <w:r>
        <w:br/>
      </w:r>
      <w:r>
        <w:rPr>
          <w:rStyle w:val="VerbatimChar"/>
        </w:rPr>
        <w:t xml:space="preserve">    "LoginKey":          "&lt;MCG-issued interface key&gt;",</w:t>
      </w:r>
      <w:r>
        <w:br/>
      </w:r>
      <w:r>
        <w:br/>
      </w:r>
      <w:r>
        <w:rPr>
          <w:rStyle w:val="VerbatimChar"/>
        </w:rPr>
        <w:t xml:space="preserve">    // ===== These must match the corresponding MCG-tenant setting =====</w:t>
      </w:r>
      <w:r>
        <w:br/>
      </w:r>
      <w:r>
        <w:rPr>
          <w:rStyle w:val="VerbatimChar"/>
        </w:rPr>
        <w:t xml:space="preserve">    "HashAlgorithm":         "SHA256",        // → MCG "Interface: Hash Type"</w:t>
      </w:r>
      <w:r>
        <w:br/>
      </w:r>
      <w:r>
        <w:rPr>
          <w:rStyle w:val="VerbatimChar"/>
        </w:rPr>
        <w:t xml:space="preserve">    "InterfaceResponseType": "RedirectOnly",  // → MCG "Interface: Response Type"</w:t>
      </w:r>
      <w:r>
        <w:br/>
      </w:r>
      <w:r>
        <w:rPr>
          <w:rStyle w:val="VerbatimChar"/>
        </w:rPr>
        <w:t xml:space="preserve">    "AllowPatientMerge":     true,            // → MCG "Interface: Allow Patient Merge"</w:t>
      </w:r>
      <w:r>
        <w:br/>
      </w:r>
      <w:r>
        <w:br/>
      </w:r>
      <w:r>
        <w:rPr>
          <w:rStyle w:val="VerbatimChar"/>
        </w:rPr>
        <w:t xml:space="preserve">    "RequestVersion":            "12.0",</w:t>
      </w:r>
      <w:r>
        <w:br/>
      </w:r>
      <w:r>
        <w:rPr>
          <w:rStyle w:val="VerbatimChar"/>
        </w:rPr>
        <w:t xml:space="preserve">    "DefaultRequestType":        "documentation",</w:t>
      </w:r>
      <w:r>
        <w:br/>
      </w:r>
      <w:r>
        <w:rPr>
          <w:rStyle w:val="VerbatimChar"/>
        </w:rPr>
        <w:t xml:space="preserve">    "IsInteractive":             true,</w:t>
      </w:r>
      <w:r>
        <w:br/>
      </w:r>
      <w:r>
        <w:rPr>
          <w:rStyle w:val="VerbatimChar"/>
        </w:rPr>
        <w:t xml:space="preserve">    "GuidelinePublicationCodes": "AC,ISC,GRG,MCM,RFC,HC,CCG,BHG,TC,PIM,MCR",</w:t>
      </w:r>
      <w:r>
        <w:br/>
      </w:r>
      <w:r>
        <w:rPr>
          <w:rStyle w:val="VerbatimChar"/>
        </w:rPr>
        <w:t xml:space="preserve">    "ResultTransform":           ""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"Bridge": {</w:t>
      </w:r>
      <w:r>
        <w:br/>
      </w:r>
      <w:r>
        <w:rPr>
          <w:rStyle w:val="VerbatimChar"/>
        </w:rPr>
        <w:t xml:space="preserve">    "PublicBaseUrl":         "https://mcg-bridge.your-org.com",</w:t>
      </w:r>
      <w:r>
        <w:br/>
      </w:r>
      <w:r>
        <w:rPr>
          <w:rStyle w:val="VerbatimChar"/>
        </w:rPr>
        <w:t xml:space="preserve">    "ReceiverPath":          "/receive",</w:t>
      </w:r>
      <w:r>
        <w:br/>
      </w:r>
      <w:r>
        <w:rPr>
          <w:rStyle w:val="VerbatimChar"/>
        </w:rPr>
        <w:t xml:space="preserve">    "AutoCloseOnComplete":   true,</w:t>
      </w:r>
      <w:r>
        <w:br/>
      </w:r>
      <w:r>
        <w:rPr>
          <w:rStyle w:val="VerbatimChar"/>
        </w:rPr>
        <w:t xml:space="preserve">    "AllowedCallerOrigins":  "https://evokeconnect.your-org.com",  // explicit, not '*'</w:t>
      </w:r>
      <w:r>
        <w:br/>
      </w:r>
      <w:r>
        <w:rPr>
          <w:rStyle w:val="VerbatimChar"/>
        </w:rPr>
        <w:t xml:space="preserve">    "EnableServerCallback":  true,</w:t>
      </w:r>
      <w:r>
        <w:br/>
      </w:r>
      <w:r>
        <w:rPr>
          <w:rStyle w:val="VerbatimChar"/>
        </w:rPr>
        <w:t xml:space="preserve">    "CallbackRetryCount":    3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Start w:id="15" w:name="verification-sequence-at-cert-time"/>
    <w:p>
      <w:pPr>
        <w:pStyle w:val="Heading3"/>
      </w:pPr>
      <w:r>
        <w:t xml:space="preserve">Verification sequence at cert time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dotnet build</w:t>
      </w:r>
      <w:r>
        <w:t xml:space="preserve"> </w:t>
      </w:r>
      <w:r>
        <w:t xml:space="preserve">→ 0 warnings, 0 errors.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dotnet test</w:t>
      </w:r>
      <w:r>
        <w:t xml:space="preserve"> </w:t>
      </w:r>
      <w:r>
        <w:t xml:space="preserve">→ all unit tests green (Hash algorithm, request builder, CwqiMessage / CwqiError parsers).</w:t>
      </w:r>
    </w:p>
    <w:p>
      <w:pPr>
        <w:pStyle w:val="Compact"/>
        <w:numPr>
          <w:ilvl w:val="0"/>
          <w:numId w:val="1002"/>
        </w:numPr>
      </w:pPr>
      <w:r>
        <w:t xml:space="preserve">Apply</w:t>
      </w:r>
      <w:r>
        <w:t xml:space="preserve"> </w:t>
      </w:r>
      <w:hyperlink r:id="rId11">
        <w:r>
          <w:rPr>
            <w:rStyle w:val="VerbatimChar"/>
          </w:rPr>
          <w:t xml:space="preserve">db/schema.sql</w:t>
        </w:r>
      </w:hyperlink>
      <w:r>
        <w:t xml:space="preserve"> </w:t>
      </w:r>
      <w:r>
        <w:t xml:space="preserve">against production SQL Server.</w:t>
      </w:r>
    </w:p>
    <w:p>
      <w:pPr>
        <w:pStyle w:val="Compact"/>
        <w:numPr>
          <w:ilvl w:val="0"/>
          <w:numId w:val="1002"/>
        </w:numPr>
      </w:pPr>
      <w:r>
        <w:t xml:space="preserve">Verify</w:t>
      </w:r>
      <w:r>
        <w:t xml:space="preserve"> </w:t>
      </w:r>
      <w:hyperlink r:id="rId12">
        <w:r>
          <w:rPr>
            <w:rStyle w:val="VerbatimChar"/>
          </w:rPr>
          <w:t xml:space="preserve">docs/PRODUCTION-DEPLOYMENT.md</w:t>
        </w:r>
      </w:hyperlink>
      <w:r>
        <w:t xml:space="preserve"> </w:t>
      </w:r>
      <w:r>
        <w:t xml:space="preserve">checklist is complete.</w:t>
      </w:r>
    </w:p>
    <w:p>
      <w:pPr>
        <w:pStyle w:val="Compact"/>
        <w:numPr>
          <w:ilvl w:val="0"/>
          <w:numId w:val="1002"/>
        </w:numPr>
      </w:pPr>
      <w:r>
        <w:t xml:space="preserve">Run the</w:t>
      </w:r>
      <w:r>
        <w:t xml:space="preserve"> </w:t>
      </w:r>
      <w:hyperlink r:id="rId13">
        <w:r>
          <w:rPr>
            <w:rStyle w:val="VerbatimChar"/>
          </w:rPr>
          <w:t xml:space="preserve">CERT-DRY-RUN-SCRIPT.md</w:t>
        </w:r>
      </w:hyperlink>
      <w:r>
        <w:t xml:space="preserve"> </w:t>
      </w:r>
      <w:r>
        <w:t xml:space="preserve">end-to-end against the</w:t>
      </w:r>
      <w:r>
        <w:t xml:space="preserve"> </w:t>
      </w:r>
      <w:r>
        <w:t xml:space="preserve">mock first, then again against the real MCG tenant.</w:t>
      </w:r>
    </w:p>
    <w:p>
      <w:pPr>
        <w:pStyle w:val="Compact"/>
        <w:numPr>
          <w:ilvl w:val="0"/>
          <w:numId w:val="1002"/>
        </w:numPr>
      </w:pPr>
      <w:r>
        <w:t xml:space="preserve">Have the cert reviewer fill in</w:t>
      </w:r>
      <w:r>
        <w:t xml:space="preserve"> </w:t>
      </w:r>
      <w:hyperlink r:id="rId14">
        <w:r>
          <w:rPr>
            <w:rStyle w:val="VerbatimChar"/>
          </w:rPr>
          <w:t xml:space="preserve">CERT-FORMAL-SIGN-OFF.md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cea72d0703905cce5de7bb9dc39788ee74c72f7"/>
    <w:p>
      <w:pPr>
        <w:pStyle w:val="Heading2"/>
      </w:pPr>
      <w:r>
        <w:t xml:space="preserve">3. What MCG cert will NOT ask the bridge to do</w:t>
      </w:r>
    </w:p>
    <w:p>
      <w:pPr>
        <w:pStyle w:val="FirstParagraph"/>
      </w:pPr>
      <w:r>
        <w:t xml:space="preserve">For honesty, items in the cert script that are purely MCG-UI features and don't</w:t>
      </w:r>
      <w:r>
        <w:t xml:space="preserve"> </w:t>
      </w:r>
      <w:r>
        <w:t xml:space="preserve">involve the bridge at all:</w:t>
      </w:r>
    </w:p>
    <w:p>
      <w:pPr>
        <w:pStyle w:val="Compact"/>
        <w:numPr>
          <w:ilvl w:val="0"/>
          <w:numId w:val="1003"/>
        </w:numPr>
      </w:pPr>
      <w:r>
        <w:t xml:space="preserve">Milestone selection, "Save &amp; Next" navigation, Add Care Date pickers</w:t>
      </w:r>
    </w:p>
    <w:p>
      <w:pPr>
        <w:pStyle w:val="Compact"/>
        <w:numPr>
          <w:ilvl w:val="0"/>
          <w:numId w:val="1003"/>
        </w:numPr>
      </w:pPr>
      <w:r>
        <w:t xml:space="preserve">Variance category/reason dropdown content</w:t>
      </w:r>
    </w:p>
    <w:p>
      <w:pPr>
        <w:pStyle w:val="Compact"/>
        <w:numPr>
          <w:ilvl w:val="0"/>
          <w:numId w:val="1003"/>
        </w:numPr>
      </w:pPr>
      <w:r>
        <w:t xml:space="preserve">Calculator inputs and outputs</w:t>
      </w:r>
    </w:p>
    <w:p>
      <w:pPr>
        <w:pStyle w:val="Compact"/>
        <w:numPr>
          <w:ilvl w:val="0"/>
          <w:numId w:val="1003"/>
        </w:numPr>
      </w:pPr>
      <w:r>
        <w:t xml:space="preserve">Strikethrough rendering of deleted notes</w:t>
      </w:r>
    </w:p>
    <w:p>
      <w:pPr>
        <w:pStyle w:val="Compact"/>
        <w:numPr>
          <w:ilvl w:val="0"/>
          <w:numId w:val="1003"/>
        </w:numPr>
      </w:pPr>
      <w:r>
        <w:t xml:space="preserve">Search-results sort order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MCG</w:t>
      </w:r>
    </w:p>
    <w:p>
      <w:pPr>
        <w:pStyle w:val="Compact"/>
        <w:numPr>
          <w:ilvl w:val="0"/>
          <w:numId w:val="1003"/>
        </w:numPr>
      </w:pPr>
      <w:r>
        <w:t xml:space="preserve">Episode summary template content</w:t>
      </w:r>
    </w:p>
    <w:p>
      <w:pPr>
        <w:pStyle w:val="Compact"/>
        <w:numPr>
          <w:ilvl w:val="0"/>
          <w:numId w:val="1003"/>
        </w:numPr>
      </w:pPr>
      <w:r>
        <w:t xml:space="preserve">Customized guideline (GMM module) authoring</w:t>
      </w:r>
    </w:p>
    <w:p>
      <w:pPr>
        <w:pStyle w:val="FirstParagraph"/>
      </w:pPr>
      <w:r>
        <w:t xml:space="preserve">These are tested on MCG's side. The bridge's job is to launch correctly, receive</w:t>
      </w:r>
      <w:r>
        <w:t xml:space="preserve"> </w:t>
      </w:r>
      <w:r>
        <w:t xml:space="preserve">the returned</w:t>
      </w:r>
      <w:r>
        <w:t xml:space="preserve"> </w:t>
      </w:r>
      <w:r>
        <w:rPr>
          <w:rStyle w:val="VerbatimChar"/>
        </w:rPr>
        <w:t xml:space="preserve">CwqiMessage</w:t>
      </w:r>
      <w:r>
        <w:t xml:space="preserve">, persist the result, and acknowledge via Reconcile.asmx</w:t>
      </w:r>
      <w:r>
        <w:t xml:space="preserve"> </w:t>
      </w:r>
      <w:r>
        <w:t xml:space="preserve">— all of which is covered by the cert items in</w:t>
      </w:r>
      <w:r>
        <w:t xml:space="preserve"> </w:t>
      </w:r>
      <w:r>
        <w:rPr>
          <w:rStyle w:val="VerbatimChar"/>
        </w:rPr>
        <w:t xml:space="preserve">CERT-CHECKLIST.md</w:t>
      </w:r>
      <w:r>
        <w:t xml:space="preserve">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db/schema.sql" TargetMode="External" /><Relationship Type="http://schemas.openxmlformats.org/officeDocument/2006/relationships/hyperlink" Id="rId13" Target="CERT-DRY-RUN-SCRIPT.md" TargetMode="External" /><Relationship Type="http://schemas.openxmlformats.org/officeDocument/2006/relationships/hyperlink" Id="rId14" Target="CERT-FORMAL-SIGN-OFF.md" TargetMode="External" /><Relationship Type="http://schemas.openxmlformats.org/officeDocument/2006/relationships/hyperlink" Id="rId12" Target="PRODUCTION-DEPLOYMEN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db/schema.sql" TargetMode="External" /><Relationship Type="http://schemas.openxmlformats.org/officeDocument/2006/relationships/hyperlink" Id="rId13" Target="CERT-DRY-RUN-SCRIPT.md" TargetMode="External" /><Relationship Type="http://schemas.openxmlformats.org/officeDocument/2006/relationships/hyperlink" Id="rId14" Target="CERT-FORMAL-SIGN-OFF.md" TargetMode="External" /><Relationship Type="http://schemas.openxmlformats.org/officeDocument/2006/relationships/hyperlink" Id="rId12" Target="PRODUCTION-DEPLOYME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2026-05-19T11:22:32Z</dcterms:created>
  <dcterms:modified xsi:type="dcterms:W3CDTF">2026-05-19T11:22:32Z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