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configuration-reference"/>
    <w:p>
      <w:pPr>
        <w:pStyle w:val="Heading1"/>
      </w:pPr>
      <w:r>
        <w:t xml:space="preserve">Configuration reference</w:t>
      </w:r>
    </w:p>
    <w:p>
      <w:pPr>
        <w:pStyle w:val="FirstParagraph"/>
      </w:pPr>
      <w:r>
        <w:t xml:space="preserve">All knobs live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(or environment-specific overrides like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, or environment variables prefixed</w:t>
      </w:r>
      <w:r>
        <w:t xml:space="preserve"> </w:t>
      </w:r>
      <w:r>
        <w:rPr>
          <w:rStyle w:val="VerbatimChar"/>
        </w:rPr>
        <w:t xml:space="preserve">Mcg__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Bridge__</w:t>
      </w:r>
      <w:r>
        <w:t xml:space="preserve">).</w:t>
      </w:r>
    </w:p>
    <w:bookmarkStart w:id="10" w:name="connectionstringsdefault"/>
    <w:p>
      <w:pPr>
        <w:pStyle w:val="Heading2"/>
      </w:pPr>
      <w:r>
        <w:rPr>
          <w:rStyle w:val="VerbatimChar"/>
        </w:rPr>
        <w:t xml:space="preserve">ConnectionStrings:Default</w:t>
      </w:r>
    </w:p>
    <w:p>
      <w:pPr>
        <w:pStyle w:val="FirstParagraph"/>
      </w:pPr>
      <w:r>
        <w:t xml:space="preserve">SQL Server connection string for the bridge's</w:t>
      </w:r>
      <w:r>
        <w:t xml:space="preserve"> </w:t>
      </w:r>
      <w:r>
        <w:rPr>
          <w:rStyle w:val="VerbatimChar"/>
        </w:rPr>
        <w:t xml:space="preserve">IntegrationTransaction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IntegrationAudit</w:t>
      </w:r>
      <w:r>
        <w:t xml:space="preserve"> </w:t>
      </w:r>
      <w:r>
        <w:t xml:space="preserve">tables. Default uses LocalDB for development.</w:t>
      </w:r>
    </w:p>
    <w:p>
      <w:pPr>
        <w:pStyle w:val="SourceCode"/>
      </w:pPr>
      <w:r>
        <w:rPr>
          <w:rStyle w:val="VerbatimChar"/>
        </w:rPr>
        <w:t xml:space="preserve">Server=(localdb)\MSSQLLocalDB;Database=MCGCareWEBQI_Dev;Trusted_Connection=True;TrustServerCertificate=True;</w:t>
      </w:r>
    </w:p>
    <w:p>
      <w:pPr>
        <w:pStyle w:val="FirstParagraph"/>
      </w:pPr>
      <w:r>
        <w:t xml:space="preserve">For production, point this at your SQL Server and apply</w:t>
      </w:r>
      <w:r>
        <w:t xml:space="preserve"> </w:t>
      </w:r>
      <w:hyperlink r:id="rId9">
        <w:r>
          <w:rPr>
            <w:rStyle w:val="VerbatimChar"/>
          </w:rPr>
          <w:t xml:space="preserve">db/schema.sql</w:t>
        </w:r>
      </w:hyperlink>
      <w:r>
        <w:t xml:space="preserve"> </w:t>
      </w:r>
      <w:r>
        <w:t xml:space="preserve">once.</w:t>
      </w:r>
    </w:p>
    <w:p>
      <w:r>
        <w:pict>
          <v:rect style="width:0;height:1.5pt" o:hralign="center" o:hrstd="t" o:hr="t"/>
        </w:pict>
      </w:r>
    </w:p>
    <w:bookmarkEnd w:id="10"/>
    <w:bookmarkStart w:id="11" w:name="X08276949f992d5e87b2ca11ef034f7a5c8c7dc3"/>
    <w:p>
      <w:pPr>
        <w:pStyle w:val="Heading2"/>
      </w:pPr>
      <w:r>
        <w:rPr>
          <w:rStyle w:val="VerbatimChar"/>
        </w:rPr>
        <w:t xml:space="preserve">Mcg</w:t>
      </w:r>
      <w:r>
        <w:t xml:space="preserve"> </w:t>
      </w:r>
      <w:r>
        <w:t xml:space="preserve">section — what changes when you swap real MCG 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Maps to Dev Guide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InterfaceLoginUrl</w:t>
            </w:r>
          </w:p>
        </w:tc>
        <w:tc>
          <w:tcPr/>
          <w:p>
            <w:pPr>
              <w:pStyle w:val="Compact"/>
            </w:pPr>
            <w:r>
              <w:t xml:space="preserve">§4 (entry point)</w:t>
            </w:r>
          </w:p>
        </w:tc>
        <w:tc>
          <w:tcPr/>
          <w:p>
            <w:pPr>
              <w:pStyle w:val="Compact"/>
            </w:pPr>
            <w:r>
              <w:t xml:space="preserve">Full URL to MCG's</w:t>
            </w:r>
            <w:r>
              <w:t xml:space="preserve"> </w:t>
            </w:r>
            <w:r>
              <w:rPr>
                <w:rStyle w:val="VerbatimChar"/>
              </w:rPr>
              <w:t xml:space="preserve">interfacelogin.aspx</w:t>
            </w:r>
            <w:r>
              <w:t xml:space="preserve">. Swap from mock (</w:t>
            </w:r>
            <w:r>
              <w:rPr>
                <w:rStyle w:val="VerbatimChar"/>
              </w:rPr>
              <w:t xml:space="preserve">http://localhost:7080/…</w:t>
            </w:r>
            <w:r>
              <w:t xml:space="preserve">) to real (</w:t>
            </w:r>
            <w:r>
              <w:rPr>
                <w:rStyle w:val="VerbatimChar"/>
              </w:rPr>
              <w:t xml:space="preserve">https://&lt;tenant&gt;.carewebqi.com/…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WebServicesUrl</w:t>
            </w:r>
          </w:p>
        </w:tc>
        <w:tc>
          <w:tcPr/>
          <w:p>
            <w:pPr>
              <w:pStyle w:val="Compact"/>
            </w:pPr>
            <w:r>
              <w:t xml:space="preserve">§6 (Reconcile WS)</w:t>
            </w:r>
          </w:p>
        </w:tc>
        <w:tc>
          <w:tcPr/>
          <w:p>
            <w:pPr>
              <w:pStyle w:val="Compact"/>
            </w:pPr>
            <w:r>
              <w:t xml:space="preserve">Full URL to MCG's</w:t>
            </w:r>
            <w:r>
              <w:t xml:space="preserve"> </w:t>
            </w:r>
            <w:r>
              <w:rPr>
                <w:rStyle w:val="VerbatimChar"/>
              </w:rPr>
              <w:t xml:space="preserve">Reconcile.asmx</w:t>
            </w:r>
            <w:r>
              <w:t xml:space="preserve">. Bridge calls</w:t>
            </w:r>
            <w:r>
              <w:t xml:space="preserve"> </w:t>
            </w:r>
            <w:r>
              <w:rPr>
                <w:rStyle w:val="VerbatimChar"/>
              </w:rPr>
              <w:t xml:space="preserve">AcknowledgeMessageByEpisode</w:t>
            </w:r>
            <w:r>
              <w:t xml:space="preserve"> </w:t>
            </w:r>
            <w:r>
              <w:t xml:space="preserve">after every successful return.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LoginKey</w:t>
            </w:r>
          </w:p>
        </w:tc>
        <w:tc>
          <w:tcPr/>
          <w:p>
            <w:pPr>
              <w:pStyle w:val="Compact"/>
            </w:pPr>
            <w:r>
              <w:t xml:space="preserve">§2 (Interface Key)</w:t>
            </w:r>
          </w:p>
        </w:tc>
        <w:tc>
          <w:tcPr/>
          <w:p>
            <w:pPr>
              <w:pStyle w:val="Compact"/>
            </w:pPr>
            <w:r>
              <w:t xml:space="preserve">The shared interface key. Used as hash salt.</w:t>
            </w:r>
            <w:r>
              <w:t xml:space="preserve"> </w:t>
            </w:r>
            <w:r>
              <w:rPr>
                <w:b/>
                <w:bCs/>
              </w:rPr>
              <w:t xml:space="preserve">Never commit a real value — use a secret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HashAlgorithm</w:t>
            </w:r>
          </w:p>
        </w:tc>
        <w:tc>
          <w:tcPr/>
          <w:p>
            <w:pPr>
              <w:pStyle w:val="Compact"/>
            </w:pPr>
            <w:r>
              <w:t xml:space="preserve">§1.2 step 3, §2.2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SHA512</w:t>
            </w:r>
            <w:r>
              <w:t xml:space="preserve">. API integrations MUST be 256+.</w:t>
            </w:r>
            <w:r>
              <w:t xml:space="preserve"> </w:t>
            </w:r>
            <w:r>
              <w:rPr>
                <w:rStyle w:val="VerbatimChar"/>
              </w:rPr>
              <w:t xml:space="preserve">SHA1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MD5</w:t>
            </w:r>
            <w:r>
              <w:t xml:space="preserve"> </w:t>
            </w:r>
            <w:r>
              <w:t xml:space="preserve">exist for legacy support but should not be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RequestVersion</w:t>
            </w:r>
          </w:p>
        </w:tc>
        <w:tc>
          <w:tcPr/>
          <w:p>
            <w:pPr>
              <w:pStyle w:val="Compact"/>
            </w:pPr>
            <w:r>
              <w:t xml:space="preserve">§4.2 (</w:t>
            </w:r>
            <w:r>
              <w:rPr>
                <w:rStyle w:val="VerbatimChar"/>
              </w:rPr>
              <w:t xml:space="preserve">requestVersion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 version sent on every request.</w:t>
            </w:r>
            <w:r>
              <w:t xml:space="preserve"> </w:t>
            </w:r>
            <w:r>
              <w:rPr>
                <w:rStyle w:val="VerbatimChar"/>
              </w:rPr>
              <w:t xml:space="preserve">12.0</w:t>
            </w:r>
            <w:r>
              <w:t xml:space="preserve"> </w:t>
            </w:r>
            <w:r>
              <w:t xml:space="preserve">by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IsInteractive</w:t>
            </w:r>
          </w:p>
        </w:tc>
        <w:tc>
          <w:tcPr/>
          <w:p>
            <w:pPr>
              <w:pStyle w:val="Compact"/>
            </w:pPr>
            <w:r>
              <w:t xml:space="preserve">§3.1 (</w:t>
            </w:r>
            <w:r>
              <w:rPr>
                <w:rStyle w:val="VerbatimChar"/>
              </w:rPr>
              <w:t xml:space="preserve">isInteractive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(default, recommended) 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DefaultRequestType</w:t>
            </w:r>
          </w:p>
        </w:tc>
        <w:tc>
          <w:tcPr/>
          <w:p>
            <w:pPr>
              <w:pStyle w:val="Compact"/>
            </w:pPr>
            <w:r>
              <w:t xml:space="preserve">§4.2 (</w:t>
            </w:r>
            <w:r>
              <w:rPr>
                <w:rStyle w:val="VerbatimChar"/>
              </w:rPr>
              <w:t xml:space="preserve">requestType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episodesummary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guideline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discharge</w:t>
            </w:r>
            <w:r>
              <w:t xml:space="preserve">. Caller can override per-launch.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GuidelinePublicationCodes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t xml:space="preserve">Comma-delimited:</w:t>
            </w:r>
            <w:r>
              <w:t xml:space="preserve"> </w:t>
            </w:r>
            <w:r>
              <w:rPr>
                <w:rStyle w:val="VerbatimChar"/>
              </w:rPr>
              <w:t xml:space="preserve">AC,ISC,GRG,MCM,RFC,HC,CCG,TC,BHG,PIM,MCR</w:t>
            </w:r>
            <w:r>
              <w:t xml:space="preserve">. Subset of your licensed products.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ResultTransform</w:t>
            </w:r>
          </w:p>
        </w:tc>
        <w:tc>
          <w:tcPr/>
          <w:p>
            <w:pPr>
              <w:pStyle w:val="Compact"/>
            </w:pPr>
            <w:r>
              <w:t xml:space="preserve">§5.1 (XSL transforms)</w:t>
            </w:r>
          </w:p>
        </w:tc>
        <w:tc>
          <w:tcPr/>
          <w:p>
            <w:pPr>
              <w:pStyle w:val="Compact"/>
            </w:pPr>
            <w:r>
              <w:t xml:space="preserve">Empty = raw XML. Otherwise:</w:t>
            </w:r>
            <w:r>
              <w:t xml:space="preserve"> </w:t>
            </w:r>
            <w:r>
              <w:rPr>
                <w:rStyle w:val="VerbatimChar"/>
              </w:rPr>
              <w:t xml:space="preserve">EpisodeSummaryHtml.xslt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EpisodeSummaryText.xslt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EpisodeSummaryXML.xslt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EpisodeSummaryXMLWithCDATA.xslt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InterfaceResponseType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RedirectOnly</w:t>
            </w:r>
            <w:r>
              <w:t xml:space="preserve"> </w:t>
            </w:r>
            <w:r>
              <w:t xml:space="preserve">(recommended) or</w:t>
            </w:r>
            <w:r>
              <w:t xml:space="preserve"> </w:t>
            </w:r>
            <w:r>
              <w:rPr>
                <w:rStyle w:val="VerbatimChar"/>
              </w:rPr>
              <w:t xml:space="preserve">ScriptedForm</w:t>
            </w:r>
            <w:r>
              <w:t xml:space="preserve">. The bridge handles both.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ridge-section--bridge-side-behavior"/>
    <w:p>
      <w:pPr>
        <w:pStyle w:val="Heading2"/>
      </w:pPr>
      <w:r>
        <w:rPr>
          <w:rStyle w:val="VerbatimChar"/>
        </w:rPr>
        <w:t xml:space="preserve">Bridge</w:t>
      </w:r>
      <w:r>
        <w:t xml:space="preserve"> </w:t>
      </w:r>
      <w:r>
        <w:t xml:space="preserve">section — bridge-side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PublicBaseUrl</w:t>
            </w:r>
          </w:p>
        </w:tc>
        <w:tc>
          <w:tcPr/>
          <w:p>
            <w:pPr>
              <w:pStyle w:val="Compact"/>
            </w:pPr>
            <w:r>
              <w:t xml:space="preserve">The base URL the bridge will tell MCG to redirect to. Must match how callers reach the bridge from the internet. The full return URL is</w:t>
            </w:r>
            <w:r>
              <w:t xml:space="preserve"> </w:t>
            </w:r>
            <w:r>
              <w:rPr>
                <w:rStyle w:val="VerbatimChar"/>
              </w:rPr>
              <w:t xml:space="preserve">{PublicBaseUrl}{ReceiverPath}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ReceiverPath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/receive</w:t>
            </w:r>
            <w:r>
              <w:t xml:space="preserve">. The path where MCG posts the</w:t>
            </w:r>
            <w:r>
              <w:t xml:space="preserve"> </w:t>
            </w:r>
            <w:r>
              <w:rPr>
                <w:rStyle w:val="VerbatimChar"/>
              </w:rPr>
              <w:t xml:space="preserve">CwqiMessage</w:t>
            </w:r>
            <w:r>
              <w:t xml:space="preserve"> </w:t>
            </w:r>
            <w:r>
              <w:t xml:space="preserve">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AutoCloseOnComplete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(default) — popup auto-closes after delivering the result. Set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to keep the result page visible for debugging.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AllowedCallerOrigins</w:t>
            </w:r>
          </w:p>
        </w:tc>
        <w:tc>
          <w:tcPr/>
          <w:p>
            <w:pPr>
              <w:pStyle w:val="Compact"/>
            </w:pPr>
            <w:r>
              <w:t xml:space="preserve">Comma-delimited list of origins allowed to receive</w:t>
            </w:r>
            <w:r>
              <w:t xml:space="preserve"> </w:t>
            </w:r>
            <w:r>
              <w:rPr>
                <w:rStyle w:val="VerbatimChar"/>
              </w:rPr>
              <w:t xml:space="preserve">window.postMessage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for dev only. In production, list each caller origin explicitly (e.g.</w:t>
            </w:r>
            <w:r>
              <w:t xml:space="preserve"> </w:t>
            </w:r>
            <w:r>
              <w:rPr>
                <w:rStyle w:val="VerbatimChar"/>
              </w:rPr>
              <w:t xml:space="preserve">https://evokeconnect.example.com,https://other-caller.example.com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EnableServerCallback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(default) — fire webhook POST when caller supplied</w:t>
            </w:r>
            <w:r>
              <w:t xml:space="preserve"> </w:t>
            </w:r>
            <w:r>
              <w:rPr>
                <w:rStyle w:val="VerbatimChar"/>
              </w:rPr>
              <w:t xml:space="preserve">callbackUrl</w:t>
            </w:r>
            <w:r>
              <w:t xml:space="preserve"> </w:t>
            </w:r>
            <w:r>
              <w:t xml:space="preserve">on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CallbackRetryCount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(default) — max attempts before giving up. Backs off</w:t>
            </w:r>
            <w:r>
              <w:t xml:space="preserve"> </w:t>
            </w:r>
            <w:r>
              <w:rPr>
                <w:rStyle w:val="VerbatimChar"/>
              </w:rPr>
              <w:t xml:space="preserve">attempt * 2</w:t>
            </w:r>
            <w:r>
              <w:t xml:space="preserve"> </w:t>
            </w:r>
            <w:r>
              <w:t xml:space="preserve">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erilog"/>
    <w:p>
      <w:pPr>
        <w:pStyle w:val="Heading2"/>
      </w:pPr>
      <w:r>
        <w:t xml:space="preserve">Serilog</w:t>
      </w:r>
    </w:p>
    <w:p>
      <w:pPr>
        <w:pStyle w:val="FirstParagraph"/>
      </w:pPr>
      <w:r>
        <w:t xml:space="preserve">Logs go to console and rolling file</w:t>
      </w:r>
      <w:r>
        <w:t xml:space="preserve"> </w:t>
      </w:r>
      <w:r>
        <w:rPr>
          <w:rStyle w:val="VerbatimChar"/>
        </w:rPr>
        <w:t xml:space="preserve">logs/bridge-{date}.log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mockserver-{date}.log</w:t>
      </w:r>
      <w:r>
        <w:t xml:space="preserve">).</w:t>
      </w:r>
      <w:r>
        <w:t xml:space="preserve"> </w:t>
      </w:r>
      <w:r>
        <w:t xml:space="preserve">Tune log level in</w:t>
      </w:r>
      <w:r>
        <w:t xml:space="preserve"> </w:t>
      </w:r>
      <w:r>
        <w:rPr>
          <w:rStyle w:val="VerbatimChar"/>
        </w:rPr>
        <w:t xml:space="preserve">Logging:LogLevel:Default</w:t>
      </w:r>
      <w:r>
        <w:t xml:space="preserve"> </w:t>
      </w:r>
      <w:r>
        <w:t xml:space="preserve">or via</w:t>
      </w:r>
      <w:r>
        <w:t xml:space="preserve"> </w:t>
      </w:r>
      <w:r>
        <w:rPr>
          <w:rStyle w:val="VerbatimChar"/>
        </w:rPr>
        <w:t xml:space="preserve">Serilog:MinimumLevel</w:t>
      </w:r>
      <w:r>
        <w:t xml:space="preserve"> </w:t>
      </w:r>
      <w:r>
        <w:t xml:space="preserve">if you</w:t>
      </w:r>
      <w:r>
        <w:t xml:space="preserve"> </w:t>
      </w:r>
      <w:r>
        <w:t xml:space="preserve">prefer Serilog's native config.</w:t>
      </w:r>
    </w:p>
    <w:p>
      <w:r>
        <w:pict>
          <v:rect style="width:0;height:1.5pt" o:hralign="center" o:hrstd="t" o:hr="t"/>
        </w:pict>
      </w:r>
    </w:p>
    <w:bookmarkEnd w:id="13"/>
    <w:bookmarkStart w:id="14" w:name="X6f8784be0a6806b3f756284a770eda850b2ca70"/>
    <w:p>
      <w:pPr>
        <w:pStyle w:val="Heading2"/>
      </w:pPr>
      <w:r>
        <w:t xml:space="preserve">Mock server config (</w:t>
      </w:r>
      <w:r>
        <w:rPr>
          <w:rStyle w:val="VerbatimChar"/>
        </w:rPr>
        <w:t xml:space="preserve">src/MCGCareWEBQI.MockServer/appsettings.json</w:t>
      </w:r>
      <w:r>
        <w:t xml:space="preserve">)</w:t>
      </w:r>
    </w:p>
    <w:p>
      <w:pPr>
        <w:pStyle w:val="FirstParagraph"/>
      </w:pPr>
      <w:r>
        <w:t xml:space="preserve">Only one knob matters:</w:t>
      </w:r>
      <w:r>
        <w:t xml:space="preserve"> </w:t>
      </w:r>
      <w:r>
        <w:rPr>
          <w:rStyle w:val="VerbatimChar"/>
        </w:rPr>
        <w:t xml:space="preserve">Mcg:LoginKey</w:t>
      </w:r>
      <w:r>
        <w:t xml:space="preserve">. This MUST match the bridge's</w:t>
      </w:r>
      <w:r>
        <w:t xml:space="preserve"> </w:t>
      </w:r>
      <w:r>
        <w:rPr>
          <w:rStyle w:val="VerbatimChar"/>
        </w:rPr>
        <w:t xml:space="preserve">Mcg:LoginKey</w:t>
      </w:r>
      <w:r>
        <w:t xml:space="preserve"> </w:t>
      </w:r>
      <w:r>
        <w:t xml:space="preserve">or the mock will reject the bridge's POST with HTTP 401 (hash mismatch).</w:t>
      </w:r>
    </w:p>
    <w:p>
      <w:pPr>
        <w:pStyle w:val="BodyText"/>
      </w:pPr>
      <w:r>
        <w:t xml:space="preserve">Default in both:</w:t>
      </w:r>
      <w:r>
        <w:t xml:space="preserve"> </w:t>
      </w:r>
      <w:r>
        <w:rPr>
          <w:rStyle w:val="VerbatimChar"/>
        </w:rPr>
        <w:t xml:space="preserve">dev-mock-key-CHANGE-ME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environment-variable-overrides"/>
    <w:p>
      <w:pPr>
        <w:pStyle w:val="Heading2"/>
      </w:pPr>
      <w:r>
        <w:t xml:space="preserve">Environment-variable overrides</w:t>
      </w:r>
    </w:p>
    <w:p>
      <w:pPr>
        <w:pStyle w:val="FirstParagraph"/>
      </w:pPr>
      <w:r>
        <w:t xml:space="preserve">ASP.NET Core honors environment variables prefixed</w:t>
      </w:r>
      <w:r>
        <w:t xml:space="preserve"> </w:t>
      </w:r>
      <w:r>
        <w:rPr>
          <w:rStyle w:val="VerbatimChar"/>
        </w:rPr>
        <w:t xml:space="preserve">Mcg__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Bridge__</w:t>
      </w:r>
      <w:r>
        <w:t xml:space="preserve"> </w:t>
      </w:r>
      <w:r>
        <w:t xml:space="preserve">(double</w:t>
      </w:r>
      <w:r>
        <w:t xml:space="preserve"> </w:t>
      </w:r>
      <w:r>
        <w:t xml:space="preserve">underscore = section separator). Useful for CI / containers: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Mcg__InterfaceLoginUrl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https://prod.carewebqi.com/interface/interfacelogin.aspx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Mcg__LoginKey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read </w:t>
      </w:r>
      <w:r>
        <w:rPr>
          <w:rStyle w:val="AttributeTok"/>
        </w:rPr>
        <w:t xml:space="preserve">-field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 secret/mcg/prod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Bridge__PublicBaseUrl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https://mcg-bridge.example.com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ConnectionStrings__Default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"Server=sql.example.com;Database=McgBridge;..."</w:t>
      </w:r>
    </w:p>
    <w:p>
      <w:pPr>
        <w:pStyle w:val="FirstParagraph"/>
      </w:pPr>
      <w:r>
        <w:t xml:space="preserve">The bridge picks them up at startup; no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changes needed.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db/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db/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2026-05-19T11:22:32Z</dcterms:created>
  <dcterms:modified xsi:type="dcterms:W3CDTF">2026-05-19T11:22:32Z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