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6026eb66fb28cba54aed2398026ba4a1d243c89"/>
    <w:p>
      <w:pPr>
        <w:pStyle w:val="Heading1"/>
      </w:pPr>
      <w:r>
        <w:t xml:space="preserve">Production deployment with real MCG CareWebQI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swap procedure</w:t>
      </w:r>
      <w:r>
        <w:t xml:space="preserve"> </w:t>
      </w:r>
      <w:r>
        <w:t xml:space="preserve">when you receive MCG interface keys and want</w:t>
      </w:r>
      <w:r>
        <w:t xml:space="preserve"> </w:t>
      </w:r>
      <w:r>
        <w:t xml:space="preserve">to point the bridge at the real CareWebQI tenant.</w:t>
      </w:r>
      <w:r>
        <w:t xml:space="preserve"> </w:t>
      </w:r>
      <w:r>
        <w:rPr>
          <w:b/>
          <w:bCs/>
        </w:rPr>
        <w:t xml:space="preserve">No code change required.</w:t>
      </w:r>
    </w:p>
    <w:p>
      <w:r>
        <w:pict>
          <v:rect style="width:0;height:1.5pt" o:hralign="center" o:hrstd="t" o:hr="t"/>
        </w:pict>
      </w:r>
    </w:p>
    <w:bookmarkStart w:id="9" w:name="why-the-bridge-proxies-mcg"/>
    <w:p>
      <w:pPr>
        <w:pStyle w:val="Heading2"/>
      </w:pPr>
      <w:r>
        <w:t xml:space="preserve">Why the bridge proxies MCG</w:t>
      </w:r>
    </w:p>
    <w:p>
      <w:pPr>
        <w:pStyle w:val="FirstParagraph"/>
      </w:pPr>
      <w:r>
        <w:t xml:space="preserve">The dock-in-panel / focus-mode / pop-out features rely on the iframe and the parent</w:t>
      </w:r>
      <w:r>
        <w:t xml:space="preserve"> </w:t>
      </w:r>
      <w:r>
        <w:t xml:space="preserve">window being</w:t>
      </w:r>
      <w:r>
        <w:t xml:space="preserve"> </w:t>
      </w:r>
      <w:r>
        <w:rPr>
          <w:b/>
          <w:bCs/>
        </w:rPr>
        <w:t xml:space="preserve">same-origin</w:t>
      </w:r>
      <w:r>
        <w:t xml:space="preserve">. Browsers block cross-origin scripts from reading</w:t>
      </w:r>
      <w:r>
        <w:t xml:space="preserve"> </w:t>
      </w:r>
      <w:r>
        <w:rPr>
          <w:rStyle w:val="VerbatimChar"/>
        </w:rPr>
        <w:t xml:space="preserve">iframe.contentWindow.location</w:t>
      </w:r>
      <w:r>
        <w:t xml:space="preserve">, posting messages back through a frame hierarchy,</w:t>
      </w:r>
      <w:r>
        <w:t xml:space="preserve"> </w:t>
      </w:r>
      <w:r>
        <w:t xml:space="preserve">or sharing cookies — all of which the state-preservation features depend on.</w:t>
      </w:r>
    </w:p>
    <w:p>
      <w:pPr>
        <w:pStyle w:val="BodyText"/>
      </w:pPr>
      <w:r>
        <w:t xml:space="preserve">The bridge solves this in production the same way it solves it in dev: by serving</w:t>
      </w:r>
      <w:r>
        <w:t xml:space="preserve"> </w:t>
      </w:r>
      <w:r>
        <w:t xml:space="preserve">MCG</w:t>
      </w:r>
      <w:r>
        <w:t xml:space="preserve"> </w:t>
      </w:r>
      <w:r>
        <w:rPr>
          <w:b/>
          <w:bCs/>
        </w:rPr>
        <w:t xml:space="preserve">through its own domain</w:t>
      </w:r>
      <w:r>
        <w:t xml:space="preserve"> </w:t>
      </w:r>
      <w:r>
        <w:t xml:space="preserve">via a reverse proxy.</w:t>
      </w:r>
    </w:p>
    <w:p>
      <w:pPr>
        <w:pStyle w:val="SourceCode"/>
      </w:pPr>
      <w:r>
        <w:rPr>
          <w:rStyle w:val="VerbatimChar"/>
        </w:rPr>
        <w:t xml:space="preserve">                  https://mcg-bridge.your-org.com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│  Bridge (this app)    │</w:t>
      </w:r>
      <w:r>
        <w:br/>
      </w:r>
      <w:r>
        <w:rPr>
          <w:rStyle w:val="VerbatimChar"/>
        </w:rPr>
        <w:t xml:space="preserve">                  │  + YARP reverse proxy │── /__mcg/* ──▶ https://tenant.carewebqi.com</w:t>
      </w:r>
      <w:r>
        <w:br/>
      </w:r>
      <w:r>
        <w:rPr>
          <w:rStyle w:val="VerbatimChar"/>
        </w:rPr>
        <w:t xml:space="preserve">                  └───────────────────────┘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      SQL Server</w:t>
      </w:r>
    </w:p>
    <w:p>
      <w:pPr>
        <w:pStyle w:val="FirstParagraph"/>
      </w:pPr>
      <w:r>
        <w:t xml:space="preserve">The browser only sees</w:t>
      </w:r>
      <w:r>
        <w:t xml:space="preserve"> </w:t>
      </w:r>
      <w:r>
        <w:rPr>
          <w:rStyle w:val="VerbatimChar"/>
        </w:rPr>
        <w:t xml:space="preserve">mcg-bridge.your-org.com</w:t>
      </w:r>
      <w:r>
        <w:t xml:space="preserve">. The iframe, popup, postMessage</w:t>
      </w:r>
      <w:r>
        <w:t xml:space="preserve"> </w:t>
      </w:r>
      <w:r>
        <w:t xml:space="preserve">between them, and all the dock/popup/focus transitions work identically in</w:t>
      </w:r>
      <w:r>
        <w:t xml:space="preserve"> </w:t>
      </w:r>
      <w:r>
        <w:t xml:space="preserve">production to how they work against the mock.</w:t>
      </w:r>
    </w:p>
    <w:p>
      <w:r>
        <w:pict>
          <v:rect style="width:0;height:1.5pt" o:hralign="center" o:hrstd="t" o:hr="t"/>
        </w:pict>
      </w:r>
    </w:p>
    <w:bookmarkEnd w:id="9"/>
    <w:bookmarkStart w:id="14" w:name="the-actual-swap-3-settings"/>
    <w:p>
      <w:pPr>
        <w:pStyle w:val="Heading2"/>
      </w:pPr>
      <w:r>
        <w:t xml:space="preserve">The actual swap (3 settings)</w:t>
      </w:r>
    </w:p>
    <w:bookmarkStart w:id="11" w:name="X0ae4c1298d7b0d255db08d5ce611ed3cbc98b10"/>
    <w:p>
      <w:pPr>
        <w:pStyle w:val="Heading3"/>
      </w:pPr>
      <w:r>
        <w:t xml:space="preserve">1. Connection string</w:t>
      </w:r>
    </w:p>
    <w:p>
      <w:pPr>
        <w:pStyle w:val="SourceCode"/>
      </w:pPr>
      <w:r>
        <w:rPr>
          <w:rStyle w:val="VerbatimChar"/>
        </w:rPr>
        <w:t xml:space="preserve">"ConnectionStrings": {</w:t>
      </w:r>
      <w:r>
        <w:br/>
      </w:r>
      <w:r>
        <w:rPr>
          <w:rStyle w:val="VerbatimChar"/>
        </w:rPr>
        <w:t xml:space="preserve">  "Default": "Server=&lt;your-prod-sql&gt;;Database=MCGBridge;User Id=...;Password=...;TrustServerCertificate=True;"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Run</w:t>
      </w:r>
      <w:r>
        <w:t xml:space="preserve"> </w:t>
      </w:r>
      <w:hyperlink r:id="rId10">
        <w:r>
          <w:rPr>
            <w:rStyle w:val="VerbatimChar"/>
          </w:rPr>
          <w:t xml:space="preserve">db/schema.sql</w:t>
        </w:r>
      </w:hyperlink>
      <w:r>
        <w:t xml:space="preserve"> </w:t>
      </w:r>
      <w:r>
        <w:t xml:space="preserve">once against the database to create the tables.</w:t>
      </w:r>
    </w:p>
    <w:bookmarkEnd w:id="11"/>
    <w:bookmarkStart w:id="12" w:name="Xe05d60c979b10bb52fa8aaa170112ac59ad20be"/>
    <w:p>
      <w:pPr>
        <w:pStyle w:val="Heading3"/>
      </w:pPr>
      <w:r>
        <w:t xml:space="preserve">2. MCG settings</w:t>
      </w:r>
    </w:p>
    <w:p>
      <w:pPr>
        <w:pStyle w:val="SourceCode"/>
      </w:pPr>
      <w:r>
        <w:rPr>
          <w:rStyle w:val="VerbatimChar"/>
        </w:rPr>
        <w:t xml:space="preserve">"Mcg": {</w:t>
      </w:r>
      <w:r>
        <w:br/>
      </w:r>
      <w:r>
        <w:rPr>
          <w:rStyle w:val="VerbatimChar"/>
        </w:rPr>
        <w:t xml:space="preserve">  // The reverse-proxy upstream. Bridge will forward /__mcg/* to this host.</w:t>
      </w:r>
      <w:r>
        <w:br/>
      </w:r>
      <w:r>
        <w:rPr>
          <w:rStyle w:val="VerbatimChar"/>
        </w:rPr>
        <w:t xml:space="preserve">  "UpstreamHost":      "https://tenant.carewebqi.com",</w:t>
      </w:r>
      <w:r>
        <w:br/>
      </w:r>
      <w:r>
        <w:br/>
      </w:r>
      <w:r>
        <w:rPr>
          <w:rStyle w:val="VerbatimChar"/>
        </w:rPr>
        <w:t xml:space="preserve">  // These two stay on the bridge's own domain — they go through the proxy.</w:t>
      </w:r>
      <w:r>
        <w:br/>
      </w:r>
      <w:r>
        <w:rPr>
          <w:rStyle w:val="VerbatimChar"/>
        </w:rPr>
        <w:t xml:space="preserve">  "InterfaceLoginUrl": "https://mcg-bridge.your-org.com/__mcg/interface/interfacelogin.aspx",</w:t>
      </w:r>
      <w:r>
        <w:br/>
      </w:r>
      <w:r>
        <w:rPr>
          <w:rStyle w:val="VerbatimChar"/>
        </w:rPr>
        <w:t xml:space="preserve">  "WebServicesUrl":    "https://mcg-bridge.your-org.com/__mcg/WebServices/Reconcile.asmx",</w:t>
      </w:r>
      <w:r>
        <w:br/>
      </w:r>
      <w:r>
        <w:br/>
      </w:r>
      <w:r>
        <w:rPr>
          <w:rStyle w:val="VerbatimChar"/>
        </w:rPr>
        <w:t xml:space="preserve">  // Move LoginKey into a secret store. NEVER commit the real value.</w:t>
      </w:r>
      <w:r>
        <w:br/>
      </w:r>
      <w:r>
        <w:rPr>
          <w:rStyle w:val="VerbatimChar"/>
        </w:rPr>
        <w:t xml:space="preserve">  "LoginKey":          "&lt;from secret store&gt;",</w:t>
      </w:r>
      <w:r>
        <w:br/>
      </w:r>
      <w:r>
        <w:br/>
      </w:r>
      <w:r>
        <w:rPr>
          <w:rStyle w:val="VerbatimChar"/>
        </w:rPr>
        <w:t xml:space="preserve">  "HashAlgorithm":     "SHA256",</w:t>
      </w:r>
      <w:r>
        <w:br/>
      </w:r>
      <w:r>
        <w:rPr>
          <w:rStyle w:val="VerbatimChar"/>
        </w:rPr>
        <w:t xml:space="preserve">  "RequestVersion":    "12.0"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Recommend</w:t>
      </w:r>
      <w:r>
        <w:t xml:space="preserve"> </w:t>
      </w:r>
      <w:r>
        <w:rPr>
          <w:rStyle w:val="VerbatimChar"/>
        </w:rPr>
        <w:t xml:space="preserve">LoginKey</w:t>
      </w:r>
      <w:r>
        <w:t xml:space="preserve"> </w:t>
      </w:r>
      <w:r>
        <w:t xml:space="preserve">via env var: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Mcg__LoginKey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'&lt;your-real-interface-key&gt;'</w:t>
      </w:r>
    </w:p>
    <w:p>
      <w:pPr>
        <w:pStyle w:val="FirstParagraph"/>
      </w:pPr>
      <w:r>
        <w:t xml:space="preserve">Or via ASP.NET Core user secrets / Azure Key Vault / HashiCorp Vault / AWS Secrets Manager.</w:t>
      </w:r>
    </w:p>
    <w:bookmarkEnd w:id="12"/>
    <w:bookmarkStart w:id="13" w:name="X6c409314b8d37f78608dbfa6bcd607cae50362a"/>
    <w:p>
      <w:pPr>
        <w:pStyle w:val="Heading3"/>
      </w:pPr>
      <w:r>
        <w:t xml:space="preserve">3. Bridge settings</w:t>
      </w:r>
    </w:p>
    <w:p>
      <w:pPr>
        <w:pStyle w:val="SourceCode"/>
      </w:pPr>
      <w:r>
        <w:rPr>
          <w:rStyle w:val="VerbatimChar"/>
        </w:rPr>
        <w:t xml:space="preserve">"Bridge": {</w:t>
      </w:r>
      <w:r>
        <w:br/>
      </w:r>
      <w:r>
        <w:rPr>
          <w:rStyle w:val="VerbatimChar"/>
        </w:rPr>
        <w:t xml:space="preserve">  "PublicBaseUrl":         "https://mcg-bridge.your-org.com",</w:t>
      </w:r>
      <w:r>
        <w:br/>
      </w:r>
      <w:r>
        <w:rPr>
          <w:rStyle w:val="VerbatimChar"/>
        </w:rPr>
        <w:t xml:space="preserve">  "ReceiverPath":          "/receive",</w:t>
      </w:r>
      <w:r>
        <w:br/>
      </w:r>
      <w:r>
        <w:rPr>
          <w:rStyle w:val="VerbatimChar"/>
        </w:rPr>
        <w:t xml:space="preserve">  "AutoCloseOnComplete":   true,</w:t>
      </w:r>
      <w:r>
        <w:br/>
      </w:r>
      <w:r>
        <w:rPr>
          <w:rStyle w:val="VerbatimChar"/>
        </w:rPr>
        <w:t xml:space="preserve">  "AllowedCallerOrigins":  "https://evokeconnect.your-org.com",  // not '*' in prod</w:t>
      </w:r>
      <w:r>
        <w:br/>
      </w:r>
      <w:r>
        <w:rPr>
          <w:rStyle w:val="VerbatimChar"/>
        </w:rPr>
        <w:t xml:space="preserve">  "EnableServerCallback":  true,</w:t>
      </w:r>
      <w:r>
        <w:br/>
      </w:r>
      <w:r>
        <w:rPr>
          <w:rStyle w:val="VerbatimChar"/>
        </w:rPr>
        <w:t xml:space="preserve">  "CallbackRetryCount":    3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451a620abc6d23afc3834bf3369f0bc5f36bcc6"/>
    <w:p>
      <w:pPr>
        <w:pStyle w:val="Heading2"/>
      </w:pPr>
      <w:r>
        <w:t xml:space="preserve">What the proxy strips from MCG's responses</w:t>
      </w:r>
    </w:p>
    <w:p>
      <w:pPr>
        <w:pStyle w:val="FirstParagraph"/>
      </w:pPr>
      <w:r>
        <w:t xml:space="preserve">Real MCG (and most SaaS apps) send response headers that prevent iframe embedding.</w:t>
      </w:r>
      <w:r>
        <w:t xml:space="preserve"> </w:t>
      </w:r>
      <w:r>
        <w:t xml:space="preserve">The bridge strips these at the proxy layer so the dock-in-panel iframe works: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Reason for stripping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t xml:space="preserve">Would prevent iframe embedding entirely (</w:t>
            </w:r>
            <w:r>
              <w:rPr>
                <w:rStyle w:val="VerbatimChar"/>
              </w:rPr>
              <w:t xml:space="preserve">SAMEORIGIN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</w:t>
            </w:r>
            <w:r>
              <w:t xml:space="preserve"> </w:t>
            </w:r>
            <w:r>
              <w:t xml:space="preserve">(the whole header)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frame-ancestors</w:t>
            </w:r>
            <w:r>
              <w:t xml:space="preserve"> </w:t>
            </w:r>
            <w:r>
              <w:t xml:space="preserve">directive can block embedding even when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  <w:r>
              <w:t xml:space="preserve"> </w:t>
            </w:r>
            <w:r>
              <w:t xml:space="preserve">isn't set.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Content-Security-Policy-Report-Only</w:t>
            </w:r>
          </w:p>
        </w:tc>
        <w:tc>
          <w:tcPr/>
          <w:p>
            <w:pPr>
              <w:pStyle w:val="Compact"/>
            </w:pPr>
            <w:r>
              <w:t xml:space="preserve">Same as above but report-only 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Cross-Origin-Opener-Policy</w:t>
            </w:r>
          </w:p>
        </w:tc>
        <w:tc>
          <w:tcPr/>
          <w:p>
            <w:pPr>
              <w:pStyle w:val="Compact"/>
            </w:pPr>
            <w:r>
              <w:t xml:space="preserve">Would break the</w:t>
            </w:r>
            <w:r>
              <w:t xml:space="preserve"> </w:t>
            </w:r>
            <w:r>
              <w:rPr>
                <w:rStyle w:val="VerbatimChar"/>
              </w:rPr>
              <w:t xml:space="preserve">window.opener</w:t>
            </w:r>
            <w:r>
              <w:t xml:space="preserve"> </w:t>
            </w:r>
            <w:r>
              <w:t xml:space="preserve">link required for popup → parent postMessage.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Cross-Origin-Embedder-Policy</w:t>
            </w:r>
          </w:p>
        </w:tc>
        <w:tc>
          <w:tcPr/>
          <w:p>
            <w:pPr>
              <w:pStyle w:val="Compact"/>
            </w:pPr>
            <w:r>
              <w:t xml:space="preserve">Restricts cross-origin resource loading inside the iframe.</w:t>
            </w:r>
          </w:p>
        </w:tc>
      </w:tr>
    </w:tbl>
    <w:p>
      <w:pPr>
        <w:pStyle w:val="BodyText"/>
      </w:pPr>
      <w:r>
        <w:t xml:space="preserve">See</w:t>
      </w:r>
      <w:r>
        <w:t xml:space="preserve"> </w:t>
      </w:r>
      <w:hyperlink r:id="rId15">
        <w:r>
          <w:rPr>
            <w:rStyle w:val="VerbatimChar"/>
          </w:rPr>
          <w:t xml:space="preserve">Program.cs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VerbatimChar"/>
          </w:rPr>
          <w:t xml:space="preserve">RemoveResponseHeaderTransform.cs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ce6983f4419509e7414b78127126c50e2bafaf0"/>
    <w:p>
      <w:pPr>
        <w:pStyle w:val="Heading2"/>
      </w:pPr>
      <w:r>
        <w:t xml:space="preserve">What you still need to test against the real tenant</w:t>
      </w:r>
    </w:p>
    <w:p>
      <w:pPr>
        <w:pStyle w:val="FirstParagraph"/>
      </w:pPr>
      <w:r>
        <w:t xml:space="preserve">Things that can only be validated against your actual MCG instance:</w:t>
      </w:r>
    </w:p>
    <w:p>
      <w:pPr>
        <w:pStyle w:val="Compact"/>
        <w:numPr>
          <w:ilvl w:val="0"/>
          <w:numId w:val="1001"/>
        </w:numPr>
      </w:pPr>
      <w:r>
        <w:t xml:space="preserve">MCG accepts the bridge's signed POST and renders the clinician UI</w:t>
      </w:r>
    </w:p>
    <w:p>
      <w:pPr>
        <w:pStyle w:val="Compact"/>
        <w:numPr>
          <w:ilvl w:val="0"/>
          <w:numId w:val="1002"/>
        </w:numPr>
      </w:pPr>
      <w:r>
        <w:t xml:space="preserve">MCG's session cookies survive the proxy round-trip</w:t>
      </w:r>
    </w:p>
    <w:p>
      <w:pPr>
        <w:pStyle w:val="Compact"/>
        <w:numPr>
          <w:ilvl w:val="1"/>
          <w:numId w:val="1003"/>
        </w:numPr>
      </w:pPr>
      <w:r>
        <w:t xml:space="preserve">If not: add a</w:t>
      </w:r>
      <w:r>
        <w:t xml:space="preserve"> </w:t>
      </w:r>
      <w:r>
        <w:rPr>
          <w:rStyle w:val="VerbatimChar"/>
        </w:rPr>
        <w:t xml:space="preserve">Set-Cookie</w:t>
      </w:r>
      <w:r>
        <w:t xml:space="preserve"> </w:t>
      </w:r>
      <w:r>
        <w:t xml:space="preserve">rewrite transform (rewrite</w:t>
      </w:r>
      <w:r>
        <w:t xml:space="preserve"> </w:t>
      </w:r>
      <w:r>
        <w:rPr>
          <w:rStyle w:val="VerbatimChar"/>
        </w:rPr>
        <w:t xml:space="preserve">Domain=tenant.carewebqi.com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Domain=mcg-bridge.your-org.com</w:t>
      </w:r>
      <w:r>
        <w:t xml:space="preserve"> </w:t>
      </w:r>
      <w:r>
        <w:t xml:space="preserve">or remove the Domain attribute)</w:t>
      </w:r>
    </w:p>
    <w:p>
      <w:pPr>
        <w:pStyle w:val="Compact"/>
        <w:numPr>
          <w:ilvl w:val="0"/>
          <w:numId w:val="1004"/>
        </w:numPr>
      </w:pPr>
      <w:r>
        <w:t xml:space="preserve">MCG's internal navigation (clicking around guidelines) stays inside</w:t>
      </w:r>
      <w:r>
        <w:t xml:space="preserve"> </w:t>
      </w:r>
      <w:r>
        <w:rPr>
          <w:rStyle w:val="VerbatimChar"/>
        </w:rPr>
        <w:t xml:space="preserve">/__mcg/*</w:t>
      </w:r>
    </w:p>
    <w:p>
      <w:pPr>
        <w:pStyle w:val="Compact"/>
        <w:numPr>
          <w:ilvl w:val="1"/>
          <w:numId w:val="1005"/>
        </w:numPr>
      </w:pPr>
      <w:r>
        <w:t xml:space="preserve">If not: MCG is using absolute URLs we need to rewrite, or the X-Forwarded-Prefix scheme MCG expects is different</w:t>
      </w:r>
    </w:p>
    <w:p>
      <w:pPr>
        <w:pStyle w:val="Compact"/>
        <w:numPr>
          <w:ilvl w:val="0"/>
          <w:numId w:val="1006"/>
        </w:numPr>
      </w:pPr>
      <w:r>
        <w:t xml:space="preserve">MCG's Exit Episode posts back to the bridge's</w:t>
      </w:r>
      <w:r>
        <w:t xml:space="preserve"> </w:t>
      </w:r>
      <w:r>
        <w:rPr>
          <w:rStyle w:val="VerbatimChar"/>
        </w:rPr>
        <w:t xml:space="preserve">/receive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Reconcile.asmx</w:t>
      </w:r>
      <w:r>
        <w:t xml:space="preserve"> </w:t>
      </w:r>
      <w:r>
        <w:t xml:space="preserve">SOAP ACK returns success</w:t>
      </w:r>
    </w:p>
    <w:p>
      <w:pPr>
        <w:pStyle w:val="Compact"/>
        <w:numPr>
          <w:ilvl w:val="0"/>
          <w:numId w:val="1008"/>
        </w:numPr>
      </w:pPr>
      <w:r>
        <w:t xml:space="preserve">Dock ↔ Pop out ↔ Focus state transitions preserve clinician selections</w:t>
      </w:r>
    </w:p>
    <w:p>
      <w:pPr>
        <w:pStyle w:val="FirstParagraph"/>
      </w:pPr>
      <w:r>
        <w:t xml:space="preserve">If any of these break, the proxy can be patched without redeploying any of the</w:t>
      </w:r>
      <w:r>
        <w:t xml:space="preserve"> </w:t>
      </w:r>
      <w:r>
        <w:t xml:space="preserve">business logic — only adjust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transform configuration.</w:t>
      </w:r>
    </w:p>
    <w:p>
      <w:r>
        <w:pict>
          <v:rect style="width:0;height:1.5pt" o:hralign="center" o:hrstd="t" o:hr="t"/>
        </w:pict>
      </w:r>
    </w:p>
    <w:bookmarkEnd w:id="18"/>
    <w:bookmarkStart w:id="19" w:name="Xc5180f68c786a63806180126e65de9f8804f265"/>
    <w:p>
      <w:pPr>
        <w:pStyle w:val="Heading2"/>
      </w:pPr>
      <w:r>
        <w:t xml:space="preserve">What MCG might still break — and the fallbacks</w:t>
      </w:r>
    </w:p>
    <w:p>
      <w:pPr>
        <w:pStyle w:val="FirstParagraph"/>
      </w:pPr>
      <w:r>
        <w:t xml:space="preserve">Two things a reverse proxy genuinely cannot fix: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MCG's pages run frame-busting JavaScript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if (window.top !== window) window.top.location = …</w:t>
      </w:r>
      <w:r>
        <w:t xml:space="preserve">).</w:t>
      </w:r>
      <w:r>
        <w:t xml:space="preserve"> </w:t>
      </w:r>
      <w:r>
        <w:t xml:space="preserve">This is rare in modern SaaS but possible. Mitigation: ask MCG / HealthEdge to disable for the bridge domain.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MCG sets Strict-Transport-Security with includeSubDomains</w:t>
      </w:r>
      <w:r>
        <w:t xml:space="preserve"> </w:t>
      </w:r>
      <w:r>
        <w:t xml:space="preserve">that doesn't match</w:t>
      </w:r>
      <w:r>
        <w:t xml:space="preserve"> </w:t>
      </w:r>
      <w:r>
        <w:t xml:space="preserve">the bridge's domain. Won't break embedding but worth knowing.</w:t>
      </w:r>
    </w:p>
    <w:p>
      <w:pPr>
        <w:pStyle w:val="FirstParagraph"/>
      </w:pPr>
      <w:r>
        <w:t xml:space="preserve">If MCG ever proves un-embeddable in production, the</w:t>
      </w:r>
      <w:r>
        <w:t xml:space="preserve"> </w:t>
      </w:r>
      <w:r>
        <w:rPr>
          <w:b/>
          <w:bCs/>
        </w:rPr>
        <w:t xml:space="preserve">fallback is popup-only mode</w:t>
      </w:r>
      <w:r>
        <w:t xml:space="preserve">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Bridge:DockModeAvailable: false</w:t>
      </w:r>
      <w:r>
        <w:t xml:space="preserve"> </w:t>
      </w:r>
      <w:r>
        <w:t xml:space="preserve">(config to add) and the demo caller would hide</w:t>
      </w:r>
      <w:r>
        <w:t xml:space="preserve"> </w:t>
      </w:r>
      <w:r>
        <w:t xml:space="preserve">the Dock toggle, leaving Pop out as the only mode. Dock-back-with-state would</w:t>
      </w:r>
      <w:r>
        <w:t xml:space="preserve"> </w:t>
      </w:r>
      <w:r>
        <w:t xml:space="preserve">not be available but the core integration still works end-to-end.</w:t>
      </w:r>
    </w:p>
    <w:p>
      <w:r>
        <w:pict>
          <v:rect style="width:0;height:1.5pt" o:hralign="center" o:hrstd="t" o:hr="t"/>
        </w:pict>
      </w:r>
    </w:p>
    <w:bookmarkEnd w:id="19"/>
    <w:bookmarkStart w:id="20" w:name="bandwidth-note"/>
    <w:p>
      <w:pPr>
        <w:pStyle w:val="Heading2"/>
      </w:pPr>
      <w:r>
        <w:t xml:space="preserve">Bandwidth note</w:t>
      </w:r>
    </w:p>
    <w:p>
      <w:pPr>
        <w:pStyle w:val="FirstParagraph"/>
      </w:pPr>
      <w:r>
        <w:t xml:space="preserve">Because the bridge proxies every request from clinician → MCG, the bridge needs</w:t>
      </w:r>
      <w:r>
        <w:t xml:space="preserve"> </w:t>
      </w:r>
      <w:r>
        <w:t xml:space="preserve">network bandwidth proportional to MCG usage. For typical UM workloads (a few hundred</w:t>
      </w:r>
      <w:r>
        <w:t xml:space="preserve"> </w:t>
      </w:r>
      <w:r>
        <w:t xml:space="preserve">MCG sessions per day) this is negligible. For very high-volume use cases (thousands</w:t>
      </w:r>
      <w:r>
        <w:t xml:space="preserve"> </w:t>
      </w:r>
      <w:r>
        <w:t xml:space="preserve">of concurrent clinicians) horizontal-scale the bridge behind a load balancer; YARP is</w:t>
      </w:r>
      <w:r>
        <w:t xml:space="preserve"> </w:t>
      </w:r>
      <w:r>
        <w:t xml:space="preserve">stateless so this is a flat configuration change.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1"/>
  </w:num>
  <w:num w:numId="1004">
    <w:abstractNumId w:val="992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db/schema.sql" TargetMode="External" /><Relationship Type="http://schemas.openxmlformats.org/officeDocument/2006/relationships/hyperlink" Id="rId15" Target="../src/MCGCareWEBQI.Bridge/Program.cs" TargetMode="External" /><Relationship Type="http://schemas.openxmlformats.org/officeDocument/2006/relationships/hyperlink" Id="rId16" Target="../src/MCGCareWEBQI.Bridge/Services/RemoveResponseHeaderTransform.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db/schema.sql" TargetMode="External" /><Relationship Type="http://schemas.openxmlformats.org/officeDocument/2006/relationships/hyperlink" Id="rId15" Target="../src/MCGCareWEBQI.Bridge/Program.cs" TargetMode="External" /><Relationship Type="http://schemas.openxmlformats.org/officeDocument/2006/relationships/hyperlink" Id="rId16" Target="../src/MCGCareWEBQI.Bridge/Services/RemoveResponseHeaderTransform.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2026-05-19T11:22:29Z</dcterms:created>
  <dcterms:modified xsi:type="dcterms:W3CDTF">2026-05-19T11:22:29Z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