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640"/>
      </w:tblGrid>
      <w:tr>
        <w:tc>
          <w:tcPr>
            <w:tcW w:type="dxa" w:w="1800"/>
            <w:tcMar>
              <w:top w:w="40" w:type="dxa"/>
              <w:start w:w="60" w:type="dxa"/>
              <w:bottom w:w="40" w:type="dxa"/>
              <w:end w:w="60" w:type="dxa"/>
            </w:tcMar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2688" cy="98660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9866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0"/>
            <w:tcMar>
              <w:top w:w="40" w:type="dxa"/>
              <w:start w:w="60" w:type="dxa"/>
              <w:bottom w:w="40" w:type="dxa"/>
              <w:end w:w="60" w:type="dxa"/>
            </w:tcMar>
            <w:shd w:fill="FFFFFF"/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44"/>
              </w:rPr>
              <w:t>Jatin Gulati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i w:val="0"/>
                <w:color w:val="A67C16"/>
                <w:sz w:val="22"/>
              </w:rPr>
              <w:t>Portfolio Website Content - Editable Master Document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596273"/>
                <w:sz w:val="17"/>
              </w:rPr>
              <w:t>Edit the wording in this document and upload it back. Every visible text item from index.html is organized below so the website can be updated accurately.</w:t>
            </w:r>
          </w:p>
        </w:tc>
      </w:tr>
    </w:tbl>
    <w:p>
      <w:pPr>
        <w:spacing w:before="100" w:after="140" w:line="259" w:lineRule="auto"/>
      </w:pPr>
      <w:r>
        <w:rPr>
          <w:rFonts w:ascii="Arial" w:hAnsi="Arial"/>
          <w:b w:val="0"/>
          <w:i/>
          <w:color w:val="596273"/>
          <w:sz w:val="16"/>
        </w:rPr>
        <w:t>Editing note: Keep section labels in the left column unchanged when possible. Update the text in the right column, card tables, and bullet lists.</w:t>
      </w:r>
    </w:p>
    <w:p>
      <w:pPr>
        <w:pStyle w:val="WebsiteSection"/>
      </w:pPr>
      <w:r>
        <w:rPr>
          <w:rFonts w:ascii="Arial" w:hAnsi="Arial"/>
          <w:b/>
          <w:i w:val="0"/>
          <w:color w:val="12213D"/>
          <w:sz w:val="30"/>
        </w:rPr>
        <w:t>1. Page Information and 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Browser title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Jatin Gulati | AI &amp; Automation Transformation Leader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Meta description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Jatin Gulati - Director, AI and Automation Transformation Leader.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Brand initials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JG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 w:val="true"/>
        </w:trPr>
        <w:tc>
          <w:tcPr>
            <w:tcW w:type="dxa" w:w="4464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Navigation label</w:t>
            </w:r>
          </w:p>
        </w:tc>
        <w:tc>
          <w:tcPr>
            <w:tcW w:type="dxa" w:w="5904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Destination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Impact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#impact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Expertise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#expertise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Wins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#wins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Experience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#experience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Skills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#skills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Get in Touch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#contact</w:t>
            </w:r>
          </w:p>
        </w:tc>
      </w:tr>
    </w:tbl>
    <w:p>
      <w:pPr>
        <w:spacing w:after="0"/>
      </w:pPr>
    </w:p>
    <w:p>
      <w:pPr>
        <w:pStyle w:val="WebsiteSection"/>
      </w:pPr>
      <w:r>
        <w:rPr>
          <w:rFonts w:ascii="Arial" w:hAnsi="Arial"/>
          <w:b/>
          <w:i w:val="0"/>
          <w:color w:val="12213D"/>
          <w:sz w:val="30"/>
        </w:rPr>
        <w:t>2. Hero Section</w:t>
      </w:r>
    </w:p>
    <w:p>
      <w:pPr>
        <w:spacing w:before="0" w:after="140" w:line="259" w:lineRule="auto"/>
      </w:pPr>
      <w:r>
        <w:rPr>
          <w:rFonts w:ascii="Arial" w:hAnsi="Arial"/>
          <w:b w:val="0"/>
          <w:i/>
          <w:color w:val="596273"/>
          <w:sz w:val="17"/>
        </w:rPr>
        <w:t>Top section of the portfolio, including the main message, buttons, metrics, and photo badge.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Eyebrow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Director · AI &amp; Automation Transformation Leader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Main headline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Enterprise AI transformation, delivered at scale.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Introduction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Jatin Gulati leads global automation and AI delivery programs that convert complex healthcare operations into measurable enterprise value, revenue growth, and scalable transformation.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Profile image alt text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Professional portrait of Jatin Gulati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Photo badge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Global Delivery Leader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 w:val="true"/>
        </w:trPr>
        <w:tc>
          <w:tcPr>
            <w:tcW w:type="dxa" w:w="4464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Button label</w:t>
            </w:r>
          </w:p>
        </w:tc>
        <w:tc>
          <w:tcPr>
            <w:tcW w:type="dxa" w:w="5904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Destination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View Impact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#impact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Career Timeline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#experience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Download Resume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Jatin_Gulati_Resume.pdf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 w:val="true"/>
        </w:trPr>
        <w:tc>
          <w:tcPr>
            <w:tcW w:type="dxa" w:w="3024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Metric</w:t>
            </w:r>
          </w:p>
        </w:tc>
        <w:tc>
          <w:tcPr>
            <w:tcW w:type="dxa" w:w="7344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Label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$400M+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Business Value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250+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Automations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Countries Led</w:t>
            </w:r>
          </w:p>
        </w:tc>
      </w:tr>
    </w:tbl>
    <w:p>
      <w:pPr>
        <w:spacing w:after="0"/>
      </w:pPr>
    </w:p>
    <w:p>
      <w:pPr>
        <w:pStyle w:val="WebsiteSection"/>
      </w:pPr>
      <w:r>
        <w:rPr>
          <w:rFonts w:ascii="Arial" w:hAnsi="Arial"/>
          <w:b/>
          <w:i w:val="0"/>
          <w:color w:val="12213D"/>
          <w:sz w:val="30"/>
        </w:rPr>
        <w:t>3. Impact - By the Numbers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Eyebrow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By the Numbers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Section headline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Proven outcomes at enterprise scale.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Section introduction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Measurable transformation across healthcare, intelligent automation, AI COE, revenue expansion, and global delivery.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 w:val="true"/>
        </w:trPr>
        <w:tc>
          <w:tcPr>
            <w:tcW w:type="dxa" w:w="2448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Value</w:t>
            </w:r>
          </w:p>
        </w:tc>
        <w:tc>
          <w:tcPr>
            <w:tcW w:type="dxa" w:w="7920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$400M+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Business benefits generated over three years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250+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Automation solutions delivered and maintained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38-40%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Year-over-year account revenue growth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$21M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Revenue scale achieved from a $16M baseline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$17M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TCV secured for OIA support over five years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8x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Express Scripts revenue expansion over two years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30%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AI-driven revenue contribution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&lt;5%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Attrition across teams and functions</w:t>
            </w:r>
          </w:p>
        </w:tc>
      </w:tr>
    </w:tbl>
    <w:p>
      <w:pPr>
        <w:spacing w:after="0"/>
      </w:pPr>
    </w:p>
    <w:p>
      <w:pPr>
        <w:pStyle w:val="WebsiteSection"/>
      </w:pPr>
      <w:r>
        <w:rPr>
          <w:rFonts w:ascii="Arial" w:hAnsi="Arial"/>
          <w:b/>
          <w:i w:val="0"/>
          <w:color w:val="12213D"/>
          <w:sz w:val="30"/>
        </w:rPr>
        <w:t>4. Industry Expertise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Eyebrow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Industry Expertise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Section headline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Where outcomes meet automation scale.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Section introduction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Deep delivery expertise across healthcare, insurance, AI-led automation, and enterprise transformation.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 w:val="true"/>
        </w:trPr>
        <w:tc>
          <w:tcPr>
            <w:tcW w:type="dxa" w:w="792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No.</w:t>
            </w:r>
          </w:p>
        </w:tc>
        <w:tc>
          <w:tcPr>
            <w:tcW w:type="dxa" w:w="2880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Card title</w:t>
            </w:r>
          </w:p>
        </w:tc>
        <w:tc>
          <w:tcPr>
            <w:tcW w:type="dxa" w:w="6696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Card description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01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Healthcare Automation Delivery</w:t>
            </w:r>
          </w:p>
        </w:tc>
        <w:tc>
          <w:tcPr>
            <w:tcW w:type="dxa" w:w="66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Led intelligent automation across healthcare payer operations, OIA delivery, AI COE support, claims operations, Rx POS support, and enterprise efficiency programs.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02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AI &amp; Agentic Transformation</w:t>
            </w:r>
          </w:p>
        </w:tc>
        <w:tc>
          <w:tcPr>
            <w:tcW w:type="dxa" w:w="66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Pioneered agentic AI solutions, recommendation engines, and knowledge automation to generate measurable revenue, efficiency, and operational impact.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03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Revenue &amp; Portfolio Growth</w:t>
            </w:r>
          </w:p>
        </w:tc>
        <w:tc>
          <w:tcPr>
            <w:tcW w:type="dxa" w:w="66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Grew account revenue from $16M to $21M, expanded ESI revenue 8x, and secured long-term TCV for automation support.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04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Global Delivery Leadership</w:t>
            </w:r>
          </w:p>
        </w:tc>
        <w:tc>
          <w:tcPr>
            <w:tcW w:type="dxa" w:w="66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Managed distributed teams across India, US, Sri Lanka, Canada, and Mexico while maintaining high delivery quality and SLA discipline.</w:t>
            </w:r>
          </w:p>
        </w:tc>
      </w:tr>
    </w:tbl>
    <w:p>
      <w:pPr>
        <w:spacing w:after="0"/>
      </w:pPr>
    </w:p>
    <w:p>
      <w:pPr>
        <w:pStyle w:val="WebsiteSection"/>
      </w:pPr>
      <w:r>
        <w:rPr>
          <w:rFonts w:ascii="Arial" w:hAnsi="Arial"/>
          <w:b/>
          <w:i w:val="0"/>
          <w:color w:val="12213D"/>
          <w:sz w:val="30"/>
        </w:rPr>
        <w:t>5. Leadership DNA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Eyebrow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Leadership DNA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Section headline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Core strengths that drive transformation.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Section introduction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A balanced approach to growth, delivery, client partnership, people development, and AI-first execution.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 w:val="true"/>
        </w:trPr>
        <w:tc>
          <w:tcPr>
            <w:tcW w:type="dxa" w:w="792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No.</w:t>
            </w:r>
          </w:p>
        </w:tc>
        <w:tc>
          <w:tcPr>
            <w:tcW w:type="dxa" w:w="2664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Strength</w:t>
            </w:r>
          </w:p>
        </w:tc>
        <w:tc>
          <w:tcPr>
            <w:tcW w:type="dxa" w:w="6912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01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Strategic Growth Leader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Connects client objectives, AI strategy, revenue expansion, and delivery execution into measurable enterprise outcomes.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02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Client-First Partner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Builds trusted executive relationships through proximity, ownership, business understanding, and delivery-led confidence.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03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Automation Value Creator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Turns process complexity into scalable automation, AI, productivity, and operational value programs.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04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People Developer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Builds future-ready teams through cross-skilling, T4 enablement, leadership pipeline development, and succession planning.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05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Operational Excellence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Balances growth, margin, SLA discipline, productivity, delivery stability, and team performance across global operations.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06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AI-First Mindset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Champions GenAI, agentic AI, AI COE operations, AI residency, and emerging technology adoption at scale.</w:t>
            </w:r>
          </w:p>
        </w:tc>
      </w:tr>
    </w:tbl>
    <w:p>
      <w:pPr>
        <w:spacing w:after="0"/>
      </w:pPr>
    </w:p>
    <w:p>
      <w:pPr>
        <w:pStyle w:val="WebsiteSection"/>
      </w:pPr>
      <w:r>
        <w:rPr>
          <w:rFonts w:ascii="Arial" w:hAnsi="Arial"/>
          <w:b/>
          <w:i w:val="0"/>
          <w:color w:val="12213D"/>
          <w:sz w:val="30"/>
        </w:rPr>
        <w:t>6. Strategic Wins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Eyebrow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Strategic Wins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Section headline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High-impact programs that shaped enterprise transformation.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Section introduction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Selected programs that combined executive sponsorship, delivery discipline, automation scale, and measurable business results.</w:t>
            </w:r>
          </w:p>
        </w:tc>
      </w:tr>
    </w:tbl>
    <w:p>
      <w:pPr>
        <w:spacing w:after="0"/>
      </w:pPr>
    </w:p>
    <w:p>
      <w:pPr>
        <w:keepNext/>
        <w:spacing w:before="80" w:after="40" w:line="259" w:lineRule="auto"/>
      </w:pPr>
      <w:r>
        <w:rPr>
          <w:rFonts w:ascii="Arial" w:hAnsi="Arial"/>
          <w:b/>
          <w:i w:val="0"/>
          <w:color w:val="12213D"/>
          <w:sz w:val="21"/>
        </w:rPr>
        <w:t>1. OIA Vendor Consolidation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Supported $33M five-year vendor consolidation deal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Secured $17M OIA TCV support over five years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Enabled stable annual growth and delivery continuity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A67C16"/>
          <w:sz w:val="16"/>
        </w:rPr>
        <w:t xml:space="preserve">Tags: </w:t>
      </w:r>
      <w:r>
        <w:rPr>
          <w:rFonts w:ascii="Arial" w:hAnsi="Arial"/>
          <w:b w:val="0"/>
          <w:i w:val="0"/>
          <w:color w:val="596273"/>
          <w:sz w:val="16"/>
        </w:rPr>
        <w:t>$33M Deal, $17M TCV, 5-Year Growth</w:t>
      </w:r>
    </w:p>
    <w:p>
      <w:pPr>
        <w:keepNext/>
        <w:spacing w:before="80" w:after="40" w:line="259" w:lineRule="auto"/>
      </w:pPr>
      <w:r>
        <w:rPr>
          <w:rFonts w:ascii="Arial" w:hAnsi="Arial"/>
          <w:b/>
          <w:i w:val="0"/>
          <w:color w:val="12213D"/>
          <w:sz w:val="21"/>
        </w:rPr>
        <w:t>2. AI Center of Excellence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Delivered $7M annual savings through Clarif AI Recommendation Engine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Reduced call center handling time by 30% per interaction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Expanded AI-driven revenue contribution to 30%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A67C16"/>
          <w:sz w:val="16"/>
        </w:rPr>
        <w:t xml:space="preserve">Tags: </w:t>
      </w:r>
      <w:r>
        <w:rPr>
          <w:rFonts w:ascii="Arial" w:hAnsi="Arial"/>
          <w:b w:val="0"/>
          <w:i w:val="0"/>
          <w:color w:val="596273"/>
          <w:sz w:val="16"/>
        </w:rPr>
        <w:t>$7M Savings, 30% AHT Reduction, AI COE</w:t>
      </w:r>
    </w:p>
    <w:p>
      <w:pPr>
        <w:keepNext/>
        <w:spacing w:before="80" w:after="40" w:line="259" w:lineRule="auto"/>
      </w:pPr>
      <w:r>
        <w:rPr>
          <w:rFonts w:ascii="Arial" w:hAnsi="Arial"/>
          <w:b/>
          <w:i w:val="0"/>
          <w:color w:val="12213D"/>
          <w:sz w:val="21"/>
        </w:rPr>
        <w:t>3. Automation Portfolio at Scale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Delivered and maintained 250+ automation solutions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Generated approximately $400M in business benefits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Institutionalized automation assessment and ROI frameworks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A67C16"/>
          <w:sz w:val="16"/>
        </w:rPr>
        <w:t xml:space="preserve">Tags: </w:t>
      </w:r>
      <w:r>
        <w:rPr>
          <w:rFonts w:ascii="Arial" w:hAnsi="Arial"/>
          <w:b w:val="0"/>
          <w:i w:val="0"/>
          <w:color w:val="596273"/>
          <w:sz w:val="16"/>
        </w:rPr>
        <w:t>250+ Automations, $400M+ Value, Enterprise Scale</w:t>
      </w:r>
    </w:p>
    <w:p>
      <w:pPr>
        <w:keepNext/>
        <w:spacing w:before="80" w:after="40" w:line="259" w:lineRule="auto"/>
      </w:pPr>
      <w:r>
        <w:rPr>
          <w:rFonts w:ascii="Arial" w:hAnsi="Arial"/>
          <w:b/>
          <w:i w:val="0"/>
          <w:color w:val="12213D"/>
          <w:sz w:val="21"/>
        </w:rPr>
        <w:t>4. Global Delivery &amp; People Excellence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Managed teams across India, US, Sri Lanka, Canada, and Mexico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Maintained less than 5% attrition across functions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Enabled cross-skilling across UiPath, Blue Prism, Pega, GenAI, and AI COE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A67C16"/>
          <w:sz w:val="16"/>
        </w:rPr>
        <w:t xml:space="preserve">Tags: </w:t>
      </w:r>
      <w:r>
        <w:rPr>
          <w:rFonts w:ascii="Arial" w:hAnsi="Arial"/>
          <w:b w:val="0"/>
          <w:i w:val="0"/>
          <w:color w:val="596273"/>
          <w:sz w:val="16"/>
        </w:rPr>
        <w:t>5 Countries, &lt;5% Attrition, AI Upskilling</w:t>
      </w:r>
    </w:p>
    <w:p>
      <w:pPr>
        <w:pStyle w:val="WebsiteSection"/>
      </w:pPr>
      <w:r>
        <w:rPr>
          <w:rFonts w:ascii="Arial" w:hAnsi="Arial"/>
          <w:b/>
          <w:i w:val="0"/>
          <w:color w:val="12213D"/>
          <w:sz w:val="30"/>
        </w:rPr>
        <w:t>7. Career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Eyebrow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Career Timeline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Section headline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Enterprise transformation across AI, automation, and operations.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Section introduction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Leadership experience spanning complex global delivery, healthcare payer operations, AI programs, revenue growth, and process transformation.</w:t>
            </w:r>
          </w:p>
        </w:tc>
      </w:tr>
    </w:tbl>
    <w:p>
      <w:pPr>
        <w:spacing w:after="0"/>
      </w:pPr>
    </w:p>
    <w:p>
      <w:pPr>
        <w:spacing w:before="100" w:after="40" w:line="259" w:lineRule="auto"/>
      </w:pPr>
      <w:r>
        <w:rPr>
          <w:rFonts w:ascii="Arial" w:hAnsi="Arial"/>
          <w:b/>
          <w:i w:val="0"/>
          <w:color w:val="12213D"/>
          <w:sz w:val="22"/>
        </w:rPr>
        <w:t>1. Director / Global End-to-End Delivery Leader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Period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October 2016 - Present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Company / account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Virtusa · Health Payer Client · HIL Business Unit</w:t>
            </w:r>
          </w:p>
        </w:tc>
      </w:tr>
    </w:tbl>
    <w:p>
      <w:pPr>
        <w:spacing w:after="0"/>
      </w:pP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Lead global delivery across India, US, Sri Lanka, Canada, and Mexico.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Delivered and maintained 250+ automation solutions generating approximately $400M in business benefits.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Grew revenue from $16M to $21M, achieving 38-40% year-over-year growth.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Secured $17M TCV for OIA support and supported a $33M vendor consolidation deal.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Expanded Express Scripts revenue 8x over two years.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Delivered $7M annual savings through the Clarif AI Recommendation Engine.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Reduced call center handling time by 30% through Knowledge Exchange Genie.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Maintained less than 5% attrition and expanded executive stakeholder relationships.</w:t>
      </w:r>
    </w:p>
    <w:p>
      <w:pPr>
        <w:spacing w:before="100" w:after="40" w:line="259" w:lineRule="auto"/>
      </w:pPr>
      <w:r>
        <w:rPr>
          <w:rFonts w:ascii="Arial" w:hAnsi="Arial"/>
          <w:b/>
          <w:i w:val="0"/>
          <w:color w:val="12213D"/>
          <w:sz w:val="22"/>
        </w:rPr>
        <w:t>2. Manager - Automation &amp; Process Transformation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Period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March 2008 - September 2016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Company / account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EXL Services · Bangalore, India</w:t>
            </w:r>
          </w:p>
        </w:tc>
      </w:tr>
    </w:tbl>
    <w:p>
      <w:pPr>
        <w:spacing w:after="0"/>
      </w:pP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Transformed manual finance and accounting processes through RPA and process improvement.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Delivered $100K savings in year one of automation implementation.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Migrated 200 users to new VDI infrastructure within 60 days without productivity impact.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Reduced process time by 320 hours per month through improvement initiatives.</w:t>
      </w:r>
    </w:p>
    <w:p>
      <w:pPr>
        <w:pStyle w:val="ListBullet"/>
        <w:spacing w:before="0" w:after="20" w:line="252" w:lineRule="auto"/>
      </w:pPr>
      <w:r>
        <w:rPr>
          <w:rFonts w:ascii="Arial" w:hAnsi="Arial"/>
          <w:b w:val="0"/>
          <w:i w:val="0"/>
          <w:color w:val="172033"/>
          <w:sz w:val="17"/>
        </w:rPr>
        <w:t>Delivered $180K cost savings through transition and transformation programs.</w:t>
      </w:r>
    </w:p>
    <w:p>
      <w:pPr>
        <w:pStyle w:val="WebsiteSection"/>
      </w:pPr>
      <w:r>
        <w:rPr>
          <w:rFonts w:ascii="Arial" w:hAnsi="Arial"/>
          <w:b/>
          <w:i w:val="0"/>
          <w:color w:val="12213D"/>
          <w:sz w:val="30"/>
        </w:rPr>
        <w:t>8. Capabilities and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Eyebrow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Capabilities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Section headline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Technical and functional toolkit.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Section introduction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A combination of transformation strategy, global delivery leadership, domain depth, automation platforms, and emerging AI capabilities.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 w:val="true"/>
        </w:trPr>
        <w:tc>
          <w:tcPr>
            <w:tcW w:type="dxa" w:w="3096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7272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Skills / keywords</w:t>
            </w:r>
          </w:p>
        </w:tc>
      </w:tr>
      <w:tr>
        <w:trPr>
          <w:cantSplit w:val="true"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Automation &amp; AI Platforms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UiPath, Blue Prism, Automation Anywhere, Pega Robotics, ABBYY, WorkFusion, Kore.ai, Celonis</w:t>
            </w:r>
          </w:p>
        </w:tc>
      </w:tr>
      <w:tr>
        <w:trPr>
          <w:cantSplit w:val="true"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Leadership &amp; Delivery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Global Delivery, Revenue Growth, Margin Optimization, Stakeholder Management, CoE Setup, People Development, Portfolio Governance</w:t>
            </w:r>
          </w:p>
        </w:tc>
      </w:tr>
      <w:tr>
        <w:trPr>
          <w:cantSplit w:val="true"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Domain Strength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Healthcare, Insurance, Payer Operations, Claims Operations, Express Scripts, AI COE, OIA</w:t>
            </w:r>
          </w:p>
        </w:tc>
      </w:tr>
      <w:tr>
        <w:trPr>
          <w:cantSplit w:val="true"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Strategic Focus</w:t>
            </w:r>
          </w:p>
        </w:tc>
        <w:tc>
          <w:tcPr>
            <w:tcW w:type="dxa" w:w="7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Agentic AI, AI Residency, GenAI Upskilling, Operating Model, Automation ROI, Executive Communication</w:t>
            </w:r>
          </w:p>
        </w:tc>
      </w:tr>
    </w:tbl>
    <w:p>
      <w:pPr>
        <w:spacing w:after="0"/>
      </w:pPr>
    </w:p>
    <w:p>
      <w:pPr>
        <w:pStyle w:val="WebsiteSection"/>
      </w:pPr>
      <w:r>
        <w:rPr>
          <w:rFonts w:ascii="Arial" w:hAnsi="Arial"/>
          <w:b/>
          <w:i w:val="0"/>
          <w:color w:val="12213D"/>
          <w:sz w:val="30"/>
        </w:rPr>
        <w:t>9. Future Vision and Contact Section</w:t>
      </w:r>
    </w:p>
    <w:p>
      <w:pPr>
        <w:spacing w:before="0" w:after="140" w:line="259" w:lineRule="auto"/>
      </w:pPr>
      <w:r>
        <w:rPr>
          <w:rFonts w:ascii="Arial" w:hAnsi="Arial"/>
          <w:b w:val="0"/>
          <w:i/>
          <w:color w:val="596273"/>
          <w:sz w:val="17"/>
        </w:rPr>
        <w:t>Bottom section of the portfolio. Its background is now fully white.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Eyebrow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Future Vision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Section headline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Ready for strategic AI &amp; automation leadership conversations.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Section paragraph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Focused on scaling Health Payer Client toward $50M revenue through AI expansion, stable TCV programs, PBM, Behavioral Health, and an AI residency model that builds repeatable enterprise value.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 w:val="true"/>
        </w:trPr>
        <w:tc>
          <w:tcPr>
            <w:tcW w:type="dxa" w:w="4464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Button label</w:t>
            </w:r>
          </w:p>
        </w:tc>
        <w:tc>
          <w:tcPr>
            <w:tcW w:type="dxa" w:w="5904"/>
            <w:shd w:fill="1221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Destination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Send Email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mailto:jating@virtusa.com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Download Resume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Jatin_Gulati_Resume.pdf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View Printable Resume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resume.html</w:t>
            </w:r>
          </w:p>
        </w:tc>
      </w:tr>
    </w:tbl>
    <w:p>
      <w:pPr>
        <w:spacing w:after="0"/>
      </w:pPr>
    </w:p>
    <w:p>
      <w:pPr>
        <w:pStyle w:val="WebsiteSection"/>
      </w:pPr>
      <w:r>
        <w:rPr>
          <w:rFonts w:ascii="Arial" w:hAnsi="Arial"/>
          <w:b/>
          <w:i w:val="0"/>
          <w:color w:val="12213D"/>
          <w:sz w:val="30"/>
        </w:rPr>
        <w:t>10. Footer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Footer left text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Global Delivery · Healthcare · Insurance · AI &amp; Automation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7F8FA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12213D"/>
                <w:sz w:val="17"/>
              </w:rPr>
              <w:t>Footer right text</w:t>
            </w:r>
          </w:p>
        </w:tc>
        <w:tc>
          <w:tcPr>
            <w:tcW w:type="dxa" w:w="82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72033"/>
                <w:sz w:val="18"/>
              </w:rPr>
              <w:t>© 2026 Jatin Gulati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10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96273"/>
        <w:sz w:val="15"/>
      </w:rPr>
      <w:t>Jatin Gulati - Portfolio Website Content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ebsiteSection">
    <w:name w:val="Website Section"/>
    <w:pPr>
      <w:keepNext/>
      <w:spacing w:before="200" w:after="100"/>
    </w:pPr>
    <w:rPr>
      <w:rFonts w:ascii="Arial" w:hAnsi="Arial"/>
      <w:b/>
      <w:color w:val="12213D"/>
      <w:sz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