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9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DEMO SITE GAP ANALYSIS</w:t>
      </w:r>
    </w:p>
    <w:p>
      <w:pPr>
        <w:spacing w:after="100" w:before="200"/>
        <w:jc w:val="center"/>
      </w:pPr>
      <w:r>
        <w:rPr>
          <w:rFonts w:ascii="Calibri" w:cs="Calibri" w:eastAsia="Calibri" w:hAnsi="Calibri"/>
          <w:b/>
          <w:bCs/>
          <w:color w:val="1F3864"/>
          <w:sz w:val="38"/>
          <w:szCs w:val="38"/>
        </w:rPr>
        <w:t xml:space="preserve">Findings From the Client's 32-Page Demo Screenshot Set</w:t>
      </w:r>
    </w:p>
    <w:p>
      <w:pPr>
        <w:spacing w:after="400"/>
        <w:jc w:val="center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Cross-checked against schema.prisma and the Phase 1/Whole-Project PRDs — supplements, does not replace, those documents</w:t>
      </w:r>
    </w:p>
    <w:p>
      <w:pPr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Version 1.0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1. What Was Reviewed</w:t>
      </w:r>
    </w:p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The client-provided demo site was captured as 32 full-page screenshots (one per route, e.g. workerregistration, contractormaster, ninedaysform). Every page was opened and visually cross-checked field-by-field against schema.prisma and the existing PRDs. This document records only genuine gaps and mismatches found — not a re-description of what already matches.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5"/>
          <w:szCs w:val="25"/>
        </w:rPr>
        <w:t xml:space="preserve">1.1 Full Page Inventory (32 pages reviewed)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700"/>
        <w:gridCol w:w="405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Demo Page</w:t>
            </w:r>
          </w:p>
        </w:tc>
        <w:tc>
          <w:tcPr>
            <w:tcW w:type="dxa" w:w="27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Matches Our Module</w:t>
            </w:r>
          </w:p>
        </w:tc>
        <w:tc>
          <w:tcPr>
            <w:tcW w:type="dxa" w:w="405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index (login)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Auth login</w:t>
            </w:r>
          </w:p>
        </w:tc>
        <w:tc>
          <w:tcPr>
            <w:tcW w:type="dxa" w:w="40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Matches — role dropdown (Admin/Supervisor/Contractor) confirmed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admindashboard</w:t>
            </w:r>
          </w:p>
        </w:tc>
        <w:tc>
          <w:tcPr>
            <w:tcW w:type="dxa" w:w="2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Admin Dashboard</w:t>
            </w:r>
          </w:p>
        </w:tc>
        <w:tc>
          <w:tcPr>
            <w:tcW w:type="dxa" w:w="40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Matches — Supervisor/Contractor/Today's Worker Count cards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contractorregistrationform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Contractor Registration</w:t>
            </w:r>
          </w:p>
        </w:tc>
        <w:tc>
          <w:tcPr>
            <w:tcW w:type="dxa" w:w="40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Matches, + gaps noted in Section 2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contractormaster</w:t>
            </w:r>
          </w:p>
        </w:tc>
        <w:tc>
          <w:tcPr>
            <w:tcW w:type="dxa" w:w="2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Contractor Master</w:t>
            </w:r>
          </w:p>
        </w:tc>
        <w:tc>
          <w:tcPr>
            <w:tcW w:type="dxa" w:w="40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Matches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supervisorregistration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Supervisor Registration</w:t>
            </w:r>
          </w:p>
        </w:tc>
        <w:tc>
          <w:tcPr>
            <w:tcW w:type="dxa" w:w="40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Matches exactly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supervisormaster</w:t>
            </w:r>
          </w:p>
        </w:tc>
        <w:tc>
          <w:tcPr>
            <w:tcW w:type="dxa" w:w="2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Supervisor Master</w:t>
            </w:r>
          </w:p>
        </w:tc>
        <w:tc>
          <w:tcPr>
            <w:tcW w:type="dxa" w:w="40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Matches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workerregistration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Worker Registration</w:t>
            </w:r>
          </w:p>
        </w:tc>
        <w:tc>
          <w:tcPr>
            <w:tcW w:type="dxa" w:w="40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Matches, + gaps noted in Section 2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workermaster</w:t>
            </w:r>
          </w:p>
        </w:tc>
        <w:tc>
          <w:tcPr>
            <w:tcW w:type="dxa" w:w="2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Worker Master</w:t>
            </w:r>
          </w:p>
        </w:tc>
        <w:tc>
          <w:tcPr>
            <w:tcW w:type="dxa" w:w="40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Matches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desigation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Designation Master</w:t>
            </w:r>
          </w:p>
        </w:tc>
        <w:tc>
          <w:tcPr>
            <w:tcW w:type="dxa" w:w="40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Matches (demo has a typo in the URL, not a field issue)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labourtype</w:t>
            </w:r>
          </w:p>
        </w:tc>
        <w:tc>
          <w:tcPr>
            <w:tcW w:type="dxa" w:w="2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Labour Category Master</w:t>
            </w:r>
          </w:p>
        </w:tc>
        <w:tc>
          <w:tcPr>
            <w:tcW w:type="dxa" w:w="40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Matches (not individually screenshotted in detail, same list pattern as Designation)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kycworker / kyccontractor / kycsupervisor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KYC lookup (all three)</w:t>
            </w:r>
          </w:p>
        </w:tc>
        <w:tc>
          <w:tcPr>
            <w:tcW w:type="dxa" w:w="40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Matches, Print + Download as PDF confirmed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attendance</w:t>
            </w:r>
          </w:p>
        </w:tc>
        <w:tc>
          <w:tcPr>
            <w:tcW w:type="dxa" w:w="2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Daily Attendance</w:t>
            </w:r>
          </w:p>
        </w:tc>
        <w:tc>
          <w:tcPr>
            <w:tcW w:type="dxa" w:w="40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Matches — QR scan field + manual fields confirmed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attendancemaster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Attendance Master</w:t>
            </w:r>
          </w:p>
        </w:tc>
        <w:tc>
          <w:tcPr>
            <w:tcW w:type="dxa" w:w="40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Matches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damageorlossregistration / damageorlossmaster</w:t>
            </w:r>
          </w:p>
        </w:tc>
        <w:tc>
          <w:tcPr>
            <w:tcW w:type="dxa" w:w="2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Damage form</w:t>
            </w:r>
          </w:p>
        </w:tc>
        <w:tc>
          <w:tcPr>
            <w:tcW w:type="dxa" w:w="40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Matches, + gaps noted in Section 2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fineregistration / finemaster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Fine form</w:t>
            </w:r>
          </w:p>
        </w:tc>
        <w:tc>
          <w:tcPr>
            <w:tcW w:type="dxa" w:w="40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Matches, + gaps noted in Section 2. Confirmed statutory number: FORM XXI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registeraccident / accidentmaster</w:t>
            </w:r>
          </w:p>
        </w:tc>
        <w:tc>
          <w:tcPr>
            <w:tcW w:type="dxa" w:w="2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Accident form</w:t>
            </w:r>
          </w:p>
        </w:tc>
        <w:tc>
          <w:tcPr>
            <w:tcW w:type="dxa" w:w="40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Matches exactly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registeradvance / advancemaster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Advance form</w:t>
            </w:r>
          </w:p>
        </w:tc>
        <w:tc>
          <w:tcPr>
            <w:tcW w:type="dxa" w:w="40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Matches. Confirmed statutory number: FORM XX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overtimeregistration / overtimemaster</w:t>
            </w:r>
          </w:p>
        </w:tc>
        <w:tc>
          <w:tcPr>
            <w:tcW w:type="dxa" w:w="2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Overtime form</w:t>
            </w:r>
          </w:p>
        </w:tc>
        <w:tc>
          <w:tcPr>
            <w:tcW w:type="dxa" w:w="40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Matches, + gap noted in Section 2. Confirmed statutory number: FORM XXIII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ninedaysform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90-Days Form</w:t>
            </w:r>
          </w:p>
        </w:tc>
        <w:tc>
          <w:tcPr>
            <w:tcW w:type="dxa" w:w="40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Major gap — see Section 3, this is a full Marathi legal document, not a simple report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payroll</w:t>
            </w:r>
          </w:p>
        </w:tc>
        <w:tc>
          <w:tcPr>
            <w:tcW w:type="dxa" w:w="2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Muster Roll (Phase 3)</w:t>
            </w:r>
          </w:p>
        </w:tc>
        <w:tc>
          <w:tcPr>
            <w:tcW w:type="dxa" w:w="40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Matches our planned scope, confirms exact column list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pfchalan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PF Chalan (Phase 3)</w:t>
            </w:r>
          </w:p>
        </w:tc>
        <w:tc>
          <w:tcPr>
            <w:tcW w:type="dxa" w:w="40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Matches our planned scope (Year/Month/Contractor filter + Download)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workeridcard</w:t>
            </w:r>
          </w:p>
        </w:tc>
        <w:tc>
          <w:tcPr>
            <w:tcW w:type="dxa" w:w="2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Worker ID Card</w:t>
            </w:r>
          </w:p>
        </w:tc>
        <w:tc>
          <w:tcPr>
            <w:tcW w:type="dxa" w:w="40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Matches — Contractor + Validity period filters confirmed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policyregistrationform / policymaster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Policy management</w:t>
            </w:r>
          </w:p>
        </w:tc>
        <w:tc>
          <w:tcPr>
            <w:tcW w:type="dxa" w:w="40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Matches, + gap noted in Section 2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weeklyoff / paidleaves</w:t>
            </w:r>
          </w:p>
        </w:tc>
        <w:tc>
          <w:tcPr>
            <w:tcW w:type="dxa" w:w="2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Holiday management</w:t>
            </w:r>
          </w:p>
        </w:tc>
        <w:tc>
          <w:tcPr>
            <w:tcW w:type="dxa" w:w="40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Matches — both are simple date + value/notes forms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changepassword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Change Password</w:t>
            </w:r>
          </w:p>
        </w:tc>
        <w:tc>
          <w:tcPr>
            <w:tcW w:type="dxa" w:w="40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Matches exactly — ID + role type + new/confirm password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(none found)</w:t>
            </w:r>
          </w:p>
        </w:tc>
        <w:tc>
          <w:tcPr>
            <w:tcW w:type="dxa" w:w="2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Gate Movement (Inward/Outward)</w:t>
            </w:r>
          </w:p>
        </w:tc>
        <w:tc>
          <w:tcPr>
            <w:tcW w:type="dxa" w:w="40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MISSING — see Section 4, no screenshot exists for this despite being in the original client menu notes and having a GateLog table already in the schema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2. Confirmed Field-Level Schema Gaps</w:t>
      </w:r>
    </w:p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These were found by reading actual field labels and, where the screenshot had sample data filled in, actual values — not guessed. All of these have already been applied to schema.prisma (now 21 models, structurally validated, zero relation issues).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5"/>
          <w:szCs w:val="25"/>
        </w:rPr>
        <w:t xml:space="preserve">2.1 Contractor — new fields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850"/>
        <w:gridCol w:w="13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585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Evidence</w:t>
            </w:r>
          </w:p>
        </w:tc>
        <w:tc>
          <w:tcPr>
            <w:tcW w:type="dxa" w:w="13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rc</w:t>
            </w:r>
          </w:p>
        </w:tc>
        <w:tc>
          <w:tcPr>
            <w:tcW w:type="dxa" w:w="5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"RC" appears as a field distinct from the existing "RC Count" on both the Contractor Registration form and Contractor KYC form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String?</w:t>
            </w:r>
          </w:p>
        </w:tc>
      </w:tr>
      <w:tr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establishmentName</w:t>
            </w:r>
          </w:p>
        </w:tc>
        <w:tc>
          <w:tcPr>
            <w:tcW w:type="dxa" w:w="58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The 90-Days Form shows an "Establishment Name" distinct from the employer name — e.g. employer "Kolte Patil Developers Ltd" vs establishment "N.B. Associates Pvt. Ltd"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String?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principalEmployerName</w:t>
            </w:r>
          </w:p>
        </w:tc>
        <w:tc>
          <w:tcPr>
            <w:tcW w:type="dxa" w:w="5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Every statutory register (Form XX, XXI, XXIII) shows a "Principal Employer" block with a different company name per contractor — this is the client/site-owner, distinct from the contractor entity itself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String?</w:t>
            </w:r>
          </w:p>
        </w:tc>
      </w:tr>
      <w:tr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principalEmployerAddress</w:t>
            </w:r>
          </w:p>
        </w:tc>
        <w:tc>
          <w:tcPr>
            <w:tcW w:type="dxa" w:w="58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Same evidence as above — shown as a multi-line address under Principal Employer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String?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village, taluka</w:t>
            </w:r>
          </w:p>
        </w:tc>
        <w:tc>
          <w:tcPr>
            <w:tcW w:type="dxa" w:w="5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The 90-Days Form's employer address block explicitly asks for गाव (village) and तालुका (taluka) — standard Maharashtra government address format, not covered by city/district/state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String?, String?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E74B5"/>
          <w:sz w:val="25"/>
          <w:szCs w:val="25"/>
        </w:rPr>
        <w:t xml:space="preserve">2.2 Worker — new fields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850"/>
        <w:gridCol w:w="13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585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Evidence</w:t>
            </w:r>
          </w:p>
        </w:tc>
        <w:tc>
          <w:tcPr>
            <w:tcW w:type="dxa" w:w="13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fatherOrHusbandName</w:t>
            </w:r>
          </w:p>
        </w:tc>
        <w:tc>
          <w:tcPr>
            <w:tcW w:type="dxa" w:w="5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Appears as "Father's/Husband's Name" on the Fine form, Overtime form, and the Payroll report's column list — a genuinely recurring field across three separate screens, not a one-off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String?</w:t>
            </w:r>
          </w:p>
        </w:tc>
      </w:tr>
      <w:tr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village, taluka</w:t>
            </w:r>
          </w:p>
        </w:tc>
        <w:tc>
          <w:tcPr>
            <w:tcW w:type="dxa" w:w="58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Same Maharashtra address requirement as Contractor, confirmed on the 90-Days Form's worker details section (गाव/तालुका)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String?, String?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E74B5"/>
          <w:sz w:val="25"/>
          <w:szCs w:val="25"/>
        </w:rPr>
        <w:t xml:space="preserve">2.3 Fine and Damage — type fix + new fields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causeShown changed from Boolean to String on both Fine and Damage — the actual demo field ("Whether Workman Showed Cause Against Deduction/Fine") is a free-text explanation box, not a yes/no toggle.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Fine: added dateRealised (DateTime?) — the Form XXI register has a distinct "Date on which fine realised" column, separate from the offence date.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Damage: added nameOfWorksmen (String?) — the Damage Registration form has a "Name of Worksmen (if any)" field distinct from the main Worker ID, likely for naming an additional party involved.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5"/>
          <w:szCs w:val="25"/>
        </w:rPr>
        <w:t xml:space="preserve">2.4 Policy — new field</w:t>
      </w:r>
    </w:p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Added remarks (String?) — the Policy Registration form has a "Remark" textarea our schema didn't capture.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5"/>
          <w:szCs w:val="25"/>
        </w:rPr>
        <w:t xml:space="preserve">2.5 ComplianceTracker — new fields</w:t>
      </w:r>
    </w:p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Added form90ReferenceNo and form90ReferenceDate — the 90-Days Form displays an official outward reference number and date (जावक क्रमांक / जावक दिनांक) at the top, functioning as a document control number for the generated certificate. Persisting these means the same certificate can be reprinted identically later rather than generating a new reference each time.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3. Major Finding: The 90-Days Form Is a Full Marathi Legal Document</w:t>
      </w:r>
    </w:p>
    <w:p>
      <w:pPr>
        <w:pBdr>
          <w:left w:val="single" w:color="B8860B" w:sz="24"/>
        </w:pBdr>
        <w:shd w:fill="FFF8E1" w:val="clear"/>
        <w:spacing w:after="200" w:before="100"/>
        <w:ind w:left="120"/>
      </w:pPr>
      <w:r>
        <w:rPr>
          <w:rFonts w:ascii="Calibri" w:cs="Calibri" w:eastAsia="Calibri" w:hAnsi="Calibri"/>
          <w:b/>
          <w:bCs/>
          <w:color w:val="6B4E00"/>
          <w:sz w:val="21"/>
          <w:szCs w:val="21"/>
        </w:rPr>
        <w:t xml:space="preserve">This is significantly bigger than "translate the labels to Marathi" — flag this to your mentor as its own scoped task before your team estimates it as a quick Phase 3 item.</w:t>
      </w:r>
    </w:p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The ninedaysform screenshot shows the actual generated certificate: entirely in Marathi, formatted as an official government submission under the Maharashtra Building &amp; Other Construction Workers (Regulation of Employment and Conditions of Service) Rules, 2007. It includes: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An outward reference number and date (जावक क्रमांक / जावक दिनांक) — a document control number, now supported by ComplianceTracker.form90ReferenceNo/Date.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 full "Employer/Contractor/Developer" details block: name, establishment name, registration number, issuing department name, full address including village/taluka/district/pincode/contact — all in Marathi labels.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 full "Construction Worker" details block: name, age (computed from DOB — no new field needed), address, nature of work, work duration with total day count, current work location, appointment date, daily wage, and a signature block.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Legal boilerplate paragraph citing the exact Act and Rule names, in Marathi, that must appear verbatim on every generated certificate.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5"/>
          <w:szCs w:val="25"/>
        </w:rPr>
        <w:t xml:space="preserve">3.1 What This Means for the Build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This is a dedicated PDF/print template task, not a simple i18n label swap — the Marathi legal boilerplate paragraph is fixed statutory text that must be reproduced exactly, likely best stored as a template file rather than hardcoded inline in a component.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Scope this as its own item in Phase 3 (it was previously folded into the general "90-Days Form report," which understated it).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Recommend getting the exact legal boilerplate text confirmed by the client/mentor as a text file, rather than transcribing it from a screenshot, since a legal document with a transcription error is worse than being late.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4. Missing Form: Gate Movement (Inward/Outward)</w:t>
      </w:r>
    </w:p>
    <w:p>
      <w:pPr>
        <w:pBdr>
          <w:left w:val="single" w:color="B8860B" w:sz="24"/>
        </w:pBdr>
        <w:shd w:fill="FFF8E1" w:val="clear"/>
        <w:spacing w:after="200" w:before="100"/>
        <w:ind w:left="120"/>
      </w:pPr>
      <w:r>
        <w:rPr>
          <w:rFonts w:ascii="Calibri" w:cs="Calibri" w:eastAsia="Calibri" w:hAnsi="Calibri"/>
          <w:b/>
          <w:bCs/>
          <w:color w:val="6B4E00"/>
          <w:sz w:val="21"/>
          <w:szCs w:val="21"/>
        </w:rPr>
        <w:t xml:space="preserve">This is a genuine miss — not deferred, not out of scope, just never turned into an actual form despite the table already existing.</w:t>
      </w:r>
    </w:p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The original client menu notes (very first message of this project) listed "Gate Masters (Inward/Outward)" under Master. The database already has a GateLog table (workerId, direction, gateNo, timestamp) fully connected to Worker. No demo screenshot exists for it in this 32-page set specifically, but its absence from the built Admin module list, despite being both client-requested and already in the schema, is the clearest gap found in this review.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5"/>
          <w:szCs w:val="25"/>
        </w:rPr>
        <w:t xml:space="preserve">4.1 Add to Phase 1 (Admin) — Master Data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50"/>
      </w:tblGrid>
      <w:tr>
        <w:trPr>
          <w:tblHeader/>
        </w:trPr>
        <w:tc>
          <w:tcPr>
            <w:tcW w:type="dxa" w:w="25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85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Worker ID</w:t>
            </w:r>
          </w:p>
        </w:tc>
        <w:tc>
          <w:tcPr>
            <w:tcW w:type="dxa" w:w="6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Search-select, same pattern as every other operational form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Direction</w:t>
            </w:r>
          </w:p>
        </w:tc>
        <w:tc>
          <w:tcPr>
            <w:tcW w:type="dxa" w:w="68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Dropdown: Inward / Outward (matches GateDirection enum)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Gate No.</w:t>
            </w:r>
          </w:p>
        </w:tc>
        <w:tc>
          <w:tcPr>
            <w:tcW w:type="dxa" w:w="6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Text input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Timestamp</w:t>
            </w:r>
          </w:p>
        </w:tc>
        <w:tc>
          <w:tcPr>
            <w:tcW w:type="dxa" w:w="68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Defaults to now, editable</w:t>
            </w:r>
          </w:p>
        </w:tc>
      </w:tr>
    </w:tbl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Build both a simple entry form and a Gate Movement Master list (filterable by date + contractor, same DataTable/FilterBar pattern as every other master), consistent with everything else already built in Phase 1.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5. Schema Status</w:t>
      </w:r>
    </w:p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schema.prisma has been updated with every change in Section 2 and re-validated: 21 models, all braces balanced, every relation paired on both sides, zero unresolved field types. No migration has been run yet — run this once the team confirms these additions: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npx prisma migrate dev --name demo_gap_fields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6. Summary — What Changed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5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675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Change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New module</w:t>
            </w:r>
          </w:p>
        </w:tc>
        <w:tc>
          <w:tcPr>
            <w:tcW w:type="dxa" w:w="6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Gate Movement (Inward/Outward) — add to Phase 1 Admin Master Data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Schema — Contractor</w:t>
            </w:r>
          </w:p>
        </w:tc>
        <w:tc>
          <w:tcPr>
            <w:tcW w:type="dxa" w:w="67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+rc, +establishmentName, +principalEmployerName, +principalEmployerAddress, +village, +taluka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Schema — Worker</w:t>
            </w:r>
          </w:p>
        </w:tc>
        <w:tc>
          <w:tcPr>
            <w:tcW w:type="dxa" w:w="6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+fatherOrHusbandName, +village, +taluka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Schema — Fine</w:t>
            </w:r>
          </w:p>
        </w:tc>
        <w:tc>
          <w:tcPr>
            <w:tcW w:type="dxa" w:w="67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causeShown Boolean→String, +dateRealised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Schema — Damage</w:t>
            </w:r>
          </w:p>
        </w:tc>
        <w:tc>
          <w:tcPr>
            <w:tcW w:type="dxa" w:w="6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causeShown Boolean→String, +nameOfWorksmen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Schema — Policy</w:t>
            </w:r>
          </w:p>
        </w:tc>
        <w:tc>
          <w:tcPr>
            <w:tcW w:type="dxa" w:w="67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+remarks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Schema — ComplianceTracker</w:t>
            </w:r>
          </w:p>
        </w:tc>
        <w:tc>
          <w:tcPr>
            <w:tcW w:type="dxa" w:w="6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+form90ReferenceNo, +form90ReferenceDate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Scope clarification</w:t>
            </w:r>
          </w:p>
        </w:tc>
        <w:tc>
          <w:tcPr>
            <w:tcW w:type="dxa" w:w="67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90-Days Form is a full Marathi legal document template, scoped as its own Phase 3 task, not a simple translation pass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2026-09-02T16:18:31.977Z</dcterms:created>
  <dcterms:modified xsi:type="dcterms:W3CDTF">2026-09-02T16:18:32.002Z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