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ตัวอย่างรูปแบบรายงาน  |  ข้อมูลสมมติเพื่อสาธิต</w:t>
      </w:r>
    </w:p>
    <w:p>
      <w:pPr>
        <w:pStyle w:val="Title"/>
        <w:keepNext/>
        <w:widowControl/>
        <w:spacing w:line="283" w:lineRule="auto" w:after="160" w:before="0"/>
      </w:pPr>
      <w:r>
        <w:rPr>
          <w:rFonts w:ascii="Tahoma" w:hAnsi="Tahoma" w:eastAsia="Tahoma" w:cs="Tahoma"/>
          <w:sz w:val="40"/>
          <w:szCs w:val="40"/>
        </w:rPr>
        <w:t>รายงานการเข้าร่วม</w:t>
        <w:br/>
        <w:t>กิจกรรมพัฒนาครู STEM</w:t>
      </w:r>
    </w:p>
    <w:p>
      <w:pPr>
        <w:pStyle w:val="Subtitle"/>
        <w:keepNext/>
        <w:widowControl/>
        <w:spacing w:line="283" w:lineRule="auto" w:after="240" w:before="0"/>
      </w:pPr>
      <w:r>
        <w:rPr>
          <w:rFonts w:ascii="Tahoma" w:hAnsi="Tahoma" w:eastAsia="Tahoma" w:cs="Tahoma"/>
          <w:sz w:val="22"/>
          <w:szCs w:val="22"/>
        </w:rPr>
        <w:t>การแลกเปลี่ยนเรียนรู้เพื่อพัฒนาห้องเรียนที่ทุกคนมีส่วนร่วม</w:t>
      </w:r>
    </w:p>
    <w:p>
      <w:pPr>
        <w:pStyle w:val="Subtitle"/>
        <w:keepNext/>
        <w:widowControl/>
        <w:spacing w:line="283" w:lineRule="auto" w:after="240" w:before="0"/>
      </w:pPr>
      <w:r>
        <w:rPr>
          <w:rFonts w:ascii="Tahoma" w:hAnsi="Tahoma" w:eastAsia="Tahoma" w:cs="Tahoma"/>
          <w:sz w:val="22"/>
          <w:szCs w:val="22"/>
        </w:rPr>
        <w:t>STEM Teacher Development — Participation Report</w:t>
      </w: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ตุลาคม 2569  •  เครือข่ายครูผู้ร่วมพัฒนา</w:t>
      </w:r>
    </w:p>
    <w:p>
      <w:pPr>
        <w:pStyle w:val="Heading1"/>
        <w:keepNext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1. ที่มาและวัตถุประสงค์ / Background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กิจกรรมนี้เปิดพื้นที่ให้ครูได้แลกเปลี่ยนแนวทางจัดการเรียนรู้ STEM ผ่านการลงมือปฏิบัติ โดยเชื่อมปัญหาใกล้ตัวกับการตั้งคำถาม การออกแบบ และการสะท้อนผลการเรียนรู้ เพื่อให้ผู้เรียนที่มีพื้นฐานแตกต่างกันเข้าถึงกิจกรรมได้อย่างเหมาะสม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The programme brings teachers together to explore practical STEM learning, connect local challenges with inquiry, and design activities that welcome learners with different starting points.</w:t>
      </w:r>
    </w:p>
    <w:p>
      <w:pPr>
        <w:pStyle w:val="Heading1"/>
        <w:keepNext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2. สรุปกิจกรรม / Activities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การเรียนรู้ประกอบด้วยเวิร์กช็อปสามช่วง โดยแต่ละช่วงเชื่อมกระบวนการกับการนำไปใช้ในชั้นเรียน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4320"/>
        <w:gridCol w:w="4320"/>
      </w:tblGrid>
      <w:tr>
        <w:trPr>
          <w:cantSplit w:val="1"/>
          <w:tblHeader w:val="1"/>
        </w:trPr>
        <w:tc>
          <w:tcPr>
            <w:tcW w:type="dxa" w:w="432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กิจกรรม / Activity</w:t>
            </w:r>
          </w:p>
        </w:tc>
        <w:tc>
          <w:tcPr>
            <w:tcW w:type="dxa" w:w="432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แนวทางและผลที่ได้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ออกแบบกิจกรรม STEM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เริ่มจากปัญหาใกล้ตัว ออกแบบวิธีแก้ และทดสอบต้นแบบร่วมกัน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เรียนรู้จากข้อมูล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ใช้หลักฐานตั้งคำถาม อธิบายผล และฝึกสื่อสารข้อค้นพบ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สะท้อนและแลกเปลี่ยน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รับข้อเสนอแนะ ปรับแผนกิจกรรม และระบุสิ่งที่จะทดลองต่อ</w:t>
            </w:r>
          </w:p>
        </w:tc>
      </w:tr>
    </w:tbl>
    <w:p>
      <w:pPr>
        <w:widowControl/>
        <w:spacing w:after="140" w:line="283" w:lineRule="auto"/>
      </w:pP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ผลที่เห็นจากกระบวนการ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ครูได้ฝึกทั้งการอธิบาย การรับฟัง และการปรับกิจกรรมให้เหมาะกับผู้เรียน การแลกเปลี่ยนระหว่างกลุ่มช่วยให้เห็นทางเลือกที่นำไปใช้ได้ในบริบทโรงเรียนต่างกัน</w:t>
      </w:r>
    </w:p>
    <w:p>
      <w:pPr>
        <w:pStyle w:val="Heading1"/>
        <w:keepNext/>
        <w:pageBreakBefore/>
        <w:widowControl/>
        <w:spacing w:line="283" w:lineRule="auto" w:after="120" w:before="280"/>
      </w:pPr>
      <w:r>
        <w:rPr>
          <w:rFonts w:ascii="Tahoma" w:hAnsi="Tahoma" w:eastAsia="Tahoma" w:cs="Tahoma"/>
          <w:sz w:val="30"/>
          <w:szCs w:val="30"/>
        </w:rPr>
        <w:t>3. การสะท้อนผล / Reflection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3.1 ประเด็นสำคัญและภาพรวม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จากบทบาทวิทยากร: การถ่ายทอดที่ชัดเจนเริ่มจากคำถามที่ดีและการเปิดโอกาสให้ผู้เข้าร่วมได้ทดลองด้วยตนเอง การสังเกตการตอบสนองของกลุ่มช่วยปรับจังหวะและคำอธิบายระหว่างกิจกรรมได้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จากบทบาทผู้เข้าร่วม: ได้เห็นว่าการเรียนรู้ STEM เชื่อมกับชีวิตจริงได้หลายทาง และการใช้วัสดุที่หาได้ง่ายช่วยให้โรงเรียนเริ่มต้นทดลองกิจกรรมได้โดยไม่ต้องรออุปกรณ์จำนวนมาก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Facilitators practised clear questioning and adapted their explanations to the group. Participants explored practical, locally accessible ways to connect STEM with everyday learning.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 w:val="1"/>
          <w:tblHeader w:val="1"/>
        </w:trPr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คะแนนเฉลี่ย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เทียบคะแนนเต็ม 100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b/>
                <w:sz w:val="22"/>
                <w:szCs w:val="22"/>
              </w:rPr>
              <w:t>จำนวนผู้ตอบ</w:t>
            </w:r>
          </w:p>
        </w:tc>
      </w:tr>
      <w:tr>
        <w:trPr>
          <w:cantSplit w:val="1"/>
        </w:trPr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8.60 / 10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86.0 / 100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83" w:lineRule="auto"/>
            </w:pPr>
            <w:r>
              <w:rPr>
                <w:rFonts w:ascii="Tahoma" w:hAnsi="Tahoma" w:eastAsia="Tahoma" w:cs="Tahoma"/>
                <w:sz w:val="22"/>
                <w:szCs w:val="22"/>
              </w:rPr>
              <w:t>15 คน</w:t>
            </w:r>
          </w:p>
        </w:tc>
      </w:tr>
    </w:tbl>
    <w:p>
      <w:pPr>
        <w:widowControl/>
        <w:spacing w:after="140" w:line="283" w:lineRule="auto"/>
      </w:pP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ตัวเลขสมมติสำหรับแสดงรูปแบบเท่านั้น ไม่ใช่ผลประเมินกิจกรรมจริง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3.2 เสียงสะท้อนจากผู้เข้าร่วม</w:t>
      </w:r>
    </w:p>
    <w:p>
      <w:pPr>
        <w:pStyle w:val="Quote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“เมื่อได้ลองทำเอง เราเห็นทั้งจุดที่ผู้เรียนอาจติดขัดและคำถามที่ช่วยให้เขาคิดต่อ จึงอยากกลับไปปรับกิจกรรมให้ทุกคนได้มีส่วนร่วมมากขึ้น”</w:t>
      </w:r>
    </w:p>
    <w:p>
      <w:pPr>
        <w:pStyle w:val="Caption"/>
        <w:widowControl/>
        <w:spacing w:line="283" w:lineRule="auto" w:after="140"/>
      </w:pPr>
      <w:r>
        <w:rPr>
          <w:rFonts w:ascii="Tahoma" w:hAnsi="Tahoma" w:eastAsia="Tahoma" w:cs="Tahoma"/>
          <w:sz w:val="20"/>
          <w:szCs w:val="20"/>
        </w:rPr>
        <w:t>— ครูผู้เข้าร่วม (ข้อความตัวอย่างที่แต่งเพื่อสาธิตรูปแบบ)</w:t>
      </w:r>
    </w:p>
    <w:p>
      <w:pPr>
        <w:pStyle w:val="Heading2"/>
        <w:keepNext/>
        <w:widowControl/>
        <w:spacing w:line="283" w:lineRule="auto" w:after="120" w:before="200"/>
      </w:pPr>
      <w:r>
        <w:rPr>
          <w:rFonts w:ascii="Tahoma" w:hAnsi="Tahoma" w:eastAsia="Tahoma" w:cs="Tahoma"/>
          <w:sz w:val="26"/>
          <w:szCs w:val="26"/>
        </w:rPr>
        <w:t>3.3 สิ่งที่จะนำไปใช้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ทดลองกิจกรรมจากปัญหาใกล้ตัวอย่างน้อยหนึ่งกิจกรรมในห้องเรียน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ใช้คำถามปลายเปิดและแบบสะท้อนสั้น ๆ เพื่อดูวิธีคิดของผู้เรียน</w:t>
      </w:r>
    </w:p>
    <w:p>
      <w:pPr>
        <w:pStyle w:val="ListBullet"/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แบ่งปันผลการทดลองกับเครือข่ายครูและปรับแผนจากหลักฐานที่ได้</w:t>
      </w:r>
    </w:p>
    <w:p>
      <w:pPr>
        <w:widowControl/>
        <w:spacing w:line="283" w:lineRule="auto" w:after="140"/>
      </w:pPr>
      <w:r>
        <w:rPr>
          <w:rFonts w:ascii="Tahoma" w:hAnsi="Tahoma" w:eastAsia="Tahoma" w:cs="Tahoma"/>
          <w:sz w:val="23"/>
          <w:szCs w:val="23"/>
        </w:rPr>
        <w:t>Next steps: pilot one classroom activity, gather short learner reflections, and share the evidence with the teacher network.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  <w:spacing w:after="0" w:line="240" w:lineRule="auto"/>
    </w:pPr>
    <w:r>
      <w:rPr>
        <w:rFonts w:ascii="Tahoma" w:hAnsi="Tahoma" w:eastAsia="Tahoma" w:cs="Tahoma"/>
        <w:sz w:val="18"/>
        <w:szCs w:val="18"/>
      </w:rPr>
      <w:t>รายงานกิจกรรมพัฒนาครู</w:t>
      <w:tab/>
    </w:r>
    <w:fldSimple w:instr="PAGE">
      <w:r>
        <w:rPr>
          <w:rFonts w:ascii="Tahoma" w:hAnsi="Tahoma" w:eastAsia="Tahoma" w:cs="Tahoma"/>
          <w:sz w:val="18"/>
          <w:szCs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3" w:lineRule="auto"/>
      <w:outlineLvl w:val="0"/>
    </w:pPr>
    <w:rPr>
      <w:rFonts w:ascii="Tahoma" w:hAnsi="Tahoma" w:eastAsia="Tahoma" w:cs="Tahoma"/>
      <w:b/>
      <w:bCs w:val="1"/>
      <w:i w:val="0"/>
      <w:color w:val="000000"/>
      <w:sz w:val="30"/>
      <w:szCs w:val="3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83" w:lineRule="auto"/>
      <w:outlineLvl w:val="1"/>
    </w:pPr>
    <w:rPr>
      <w:rFonts w:ascii="Tahoma" w:hAnsi="Tahoma" w:eastAsia="Tahoma" w:cs="Tahoma"/>
      <w:b/>
      <w:bCs w:val="1"/>
      <w:i w:val="0"/>
      <w:color w:val="000000"/>
      <w:sz w:val="26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83" w:lineRule="auto"/>
      <w:outlineLvl w:val="2"/>
    </w:pPr>
    <w:rPr>
      <w:rFonts w:ascii="Tahoma" w:hAnsi="Tahoma" w:eastAsia="Tahoma" w:cs="Tahoma"/>
      <w:b/>
      <w:bCs w:val="1"/>
      <w:i w:val="0"/>
      <w:color w:val="000000"/>
      <w:sz w:val="23"/>
      <w:szCs w:val="23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83" w:lineRule="auto"/>
      <w:contextualSpacing/>
    </w:pPr>
    <w:rPr>
      <w:rFonts w:ascii="Tahoma" w:hAnsi="Tahoma" w:eastAsia="Tahoma" w:cs="Tahoma"/>
      <w:b/>
      <w:i w:val="0"/>
      <w:color w:val="000000"/>
      <w:kern w:val="28"/>
      <w:sz w:val="40"/>
      <w:szCs w:val="40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83" w:lineRule="auto" w:after="240"/>
    </w:pPr>
    <w:rPr>
      <w:rFonts w:ascii="Tahoma" w:hAnsi="Tahoma" w:eastAsia="Tahoma" w:cs="Tahoma"/>
      <w:b w:val="0"/>
      <w:i w:val="0"/>
      <w:iCs w:val="0"/>
      <w:color w:val="000000"/>
      <w:sz w:val="22"/>
      <w:szCs w:val="22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3" w:lineRule="auto"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40"/>
      <w:contextualSpacing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40"/>
      <w:contextualSpacing/>
    </w:pPr>
    <w:rPr>
      <w:rFonts w:ascii="Tahoma" w:hAnsi="Tahoma" w:eastAsia="Tahoma" w:cs="Tahoma"/>
      <w:b w:val="0"/>
      <w:i w:val="0"/>
      <w:color w:val="000000"/>
      <w:sz w:val="23"/>
      <w:szCs w:val="23"/>
      <w:bCs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283" w:lineRule="auto" w:after="140"/>
      <w:ind w:left="340" w:right="170"/>
    </w:pPr>
    <w:rPr>
      <w:rFonts w:ascii="Tahoma" w:hAnsi="Tahoma" w:eastAsia="Tahoma" w:cs="Tahoma"/>
      <w:b w:val="0"/>
      <w:i w:val="0"/>
      <w:iCs w:val="0"/>
      <w:color w:val="000000"/>
      <w:sz w:val="23"/>
      <w:szCs w:val="23"/>
      <w:b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3" w:lineRule="auto" w:after="140"/>
    </w:pPr>
    <w:rPr>
      <w:rFonts w:ascii="Tahoma" w:hAnsi="Tahoma" w:eastAsia="Tahoma" w:cs="Tahoma"/>
      <w:b w:val="0"/>
      <w:bCs w:val="0"/>
      <w:i w:val="0"/>
      <w:color w:val="000000"/>
      <w:sz w:val="20"/>
      <w:szCs w:val="2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development report — illustrative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