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28"/>
          <w:szCs w:val="28"/>
        </w:rPr>
        <w:t>ตัวอย่างรูปแบบรายงาน  |  ข้อมูลสมมติเพื่อสาธิต</w:t>
      </w:r>
    </w:p>
    <w:p>
      <w:pPr>
        <w:pStyle w:val="Title"/>
        <w:keepNext/>
        <w:widowControl/>
        <w:spacing w:line="240" w:lineRule="auto" w:after="160" w:before="0"/>
      </w:pPr>
      <w:r>
        <w:rPr>
          <w:rFonts w:ascii="TH Sarabun New" w:hAnsi="TH Sarabun New" w:eastAsia="TH Sarabun New" w:cs="TH Sarabun New"/>
          <w:sz w:val="56"/>
          <w:szCs w:val="56"/>
        </w:rPr>
        <w:t>รายงานการเข้าร่วม</w:t>
        <w:br/>
        <w:t>กิจกรรมพัฒนาครู STEM</w:t>
      </w:r>
    </w:p>
    <w:p>
      <w:pPr>
        <w:pStyle w:val="Subtitle"/>
        <w:keepNext/>
        <w:widowControl/>
        <w:spacing w:line="240" w:lineRule="auto" w:after="240" w:before="0"/>
      </w:pPr>
      <w:r>
        <w:rPr>
          <w:rFonts w:ascii="TH Sarabun New" w:hAnsi="TH Sarabun New" w:eastAsia="TH Sarabun New" w:cs="TH Sarabun New"/>
          <w:sz w:val="32"/>
          <w:szCs w:val="32"/>
        </w:rPr>
        <w:t>การแลกเปลี่ยนเรียนรู้เพื่อพัฒนาห้องเรียนที่ทุกคนมีส่วนร่วม</w:t>
      </w:r>
    </w:p>
    <w:p>
      <w:pPr>
        <w:pStyle w:val="Caption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28"/>
          <w:szCs w:val="28"/>
        </w:rPr>
        <w:t>ตุลาคม 2569  •  เครือข่ายครูผู้ร่วมพัฒนา</w:t>
      </w:r>
    </w:p>
    <w:p>
      <w:pPr>
        <w:pStyle w:val="Heading1"/>
        <w:keepNext/>
        <w:widowControl/>
        <w:spacing w:line="240" w:lineRule="auto" w:after="120" w:before="280"/>
      </w:pPr>
      <w:r>
        <w:rPr>
          <w:rFonts w:ascii="TH Sarabun New" w:hAnsi="TH Sarabun New" w:eastAsia="TH Sarabun New" w:cs="TH Sarabun New"/>
          <w:sz w:val="44"/>
          <w:szCs w:val="44"/>
        </w:rPr>
        <w:t>1. ที่มาและวัตถุประสงค์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กิจกรรมนี้เปิดพื้นที่ให้ครูได้แลกเปลี่ยนแนวทางจัดการเรียนรู้ STEM ผ่านการลงมือปฏิบัติ โดยเชื่อมปัญหาใกล้ตัวกับการตั้งคำถาม การออกแบบ และการสะท้อนผลการเรียนรู้ เพื่อให้ผู้เรียนที่มีพื้นฐานแตกต่างกันเข้าถึงกิจกรรมได้อย่างเหมาะสม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เป้าหมายของการเข้าร่วมคือพัฒนาทักษะการเป็นวิทยากร เรียนรู้เครื่องมือใหม่ และนำแนวปฏิบัติที่ได้กลับไปทดลองในห้องเรียน พร้อมสร้างเครือข่ายสำหรับแลกเปลี่ยนผลและปรับปรุงการสอนอย่างต่อเนื่อง</w:t>
      </w:r>
    </w:p>
    <w:p>
      <w:pPr>
        <w:pStyle w:val="Heading1"/>
        <w:keepNext/>
        <w:widowControl/>
        <w:spacing w:line="240" w:lineRule="auto" w:after="120" w:before="280"/>
      </w:pPr>
      <w:r>
        <w:rPr>
          <w:rFonts w:ascii="TH Sarabun New" w:hAnsi="TH Sarabun New" w:eastAsia="TH Sarabun New" w:cs="TH Sarabun New"/>
          <w:sz w:val="44"/>
          <w:szCs w:val="44"/>
        </w:rPr>
        <w:t>2. สรุปกิจกรรม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การเรียนรู้ประกอบด้วยเวิร์กช็อปสามช่วง โดยแต่ละช่วงเชื่อมกระบวนการกับการนำไปใช้ในชั้นเรียน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4320"/>
        <w:gridCol w:w="4320"/>
      </w:tblGrid>
      <w:tr>
        <w:trPr>
          <w:cantSplit w:val="1"/>
          <w:tblHeader w:val="1"/>
        </w:trPr>
        <w:tc>
          <w:tcPr>
            <w:tcW w:type="dxa" w:w="4320"/>
            <w:shd w:fill="F1F3F5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กิจกรรม</w:t>
            </w:r>
          </w:p>
        </w:tc>
        <w:tc>
          <w:tcPr>
            <w:tcW w:type="dxa" w:w="4320"/>
            <w:shd w:fill="F1F3F5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แนวทางและผลที่ได้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ออกแบบกิจกรรม STEM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เริ่มจากปัญหาใกล้ตัว ออกแบบวิธีแก้ และทดสอบต้นแบบร่วมกัน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เรียนรู้จากข้อมูล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ใช้หลักฐานตั้งคำถาม อธิบายผล และฝึกสื่อสารข้อค้นพบ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สะท้อนและแลกเปลี่ยน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รับข้อเสนอแนะ ปรับแผนกิจกรรม และระบุสิ่งที่จะทดลองต่อ</w:t>
            </w:r>
          </w:p>
        </w:tc>
      </w:tr>
    </w:tbl>
    <w:p>
      <w:pPr>
        <w:widowControl/>
        <w:spacing w:after="80" w:line="240" w:lineRule="auto"/>
      </w:pPr>
    </w:p>
    <w:p>
      <w:pPr>
        <w:pStyle w:val="Heading2"/>
        <w:keepNext/>
        <w:widowControl/>
        <w:spacing w:line="240" w:lineRule="auto" w:after="120" w:before="200"/>
      </w:pPr>
      <w:r>
        <w:rPr>
          <w:rFonts w:ascii="TH Sarabun New" w:hAnsi="TH Sarabun New" w:eastAsia="TH Sarabun New" w:cs="TH Sarabun New"/>
          <w:sz w:val="40"/>
          <w:szCs w:val="40"/>
        </w:rPr>
        <w:t>ผลที่เห็นจากกระบวนการ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ครูได้ฝึกทั้งการอธิบาย การรับฟัง และการปรับกิจกรรมให้เหมาะกับผู้เรียน การแลกเปลี่ยนระหว่างกลุ่มช่วยให้เห็นทางเลือกที่นำไปใช้ได้ในบริบทโรงเรียนต่างกัน</w:t>
      </w:r>
    </w:p>
    <w:p>
      <w:pPr>
        <w:pStyle w:val="Heading1"/>
        <w:keepNext/>
        <w:pageBreakBefore/>
        <w:widowControl/>
        <w:spacing w:line="240" w:lineRule="auto" w:after="120" w:before="280"/>
      </w:pPr>
      <w:r>
        <w:rPr>
          <w:rFonts w:ascii="TH Sarabun New" w:hAnsi="TH Sarabun New" w:eastAsia="TH Sarabun New" w:cs="TH Sarabun New"/>
          <w:sz w:val="44"/>
          <w:szCs w:val="44"/>
        </w:rPr>
        <w:t>3. การสะท้อนผล</w:t>
      </w:r>
    </w:p>
    <w:p>
      <w:pPr>
        <w:pStyle w:val="Heading2"/>
        <w:keepNext/>
        <w:widowControl/>
        <w:spacing w:line="240" w:lineRule="auto" w:after="120" w:before="200"/>
      </w:pPr>
      <w:r>
        <w:rPr>
          <w:rFonts w:ascii="TH Sarabun New" w:hAnsi="TH Sarabun New" w:eastAsia="TH Sarabun New" w:cs="TH Sarabun New"/>
          <w:sz w:val="40"/>
          <w:szCs w:val="40"/>
        </w:rPr>
        <w:t>3.1 ประเด็นสำคัญและภาพรวม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จากบทบาทวิทยากร: การถ่ายทอดที่ชัดเจนเริ่มจากคำถามที่ดีและการเปิดโอกาสให้ผู้เข้าร่วมได้ทดลองด้วยตนเอง การสังเกตการตอบสนองของกลุ่มช่วยปรับจังหวะและคำอธิบายระหว่างกิจกรรมได้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จากบทบาทผู้เข้าร่วม: ได้เห็นว่าการเรียนรู้ STEM เชื่อมกับชีวิตจริงได้หลายทาง และการใช้วัสดุที่หาได้ง่ายช่วยให้โรงเรียนเริ่มต้นทดลองกิจกรรมได้โดยไม่ต้องรออุปกรณ์จำนวนมาก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 w:val="1"/>
          <w:tblHeader w:val="1"/>
        </w:trPr>
        <w:tc>
          <w:tcPr>
            <w:tcW w:type="dxa" w:w="2880"/>
            <w:shd w:fill="F1F3F5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คะแนนเฉลี่ย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เทียบคะแนนเต็ม 100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จำนวนผู้ตอบ</w:t>
            </w:r>
          </w:p>
        </w:tc>
      </w:tr>
      <w:tr>
        <w:trPr>
          <w:cantSplit w:val="1"/>
        </w:trPr>
        <w:tc>
          <w:tcPr>
            <w:tcW w:type="dxa" w:w="288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8.60 / 10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86.0 / 100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15 คน</w:t>
            </w:r>
          </w:p>
        </w:tc>
      </w:tr>
    </w:tbl>
    <w:p>
      <w:pPr>
        <w:widowControl/>
        <w:spacing w:after="80" w:line="240" w:lineRule="auto"/>
      </w:pPr>
    </w:p>
    <w:p>
      <w:pPr>
        <w:pStyle w:val="Caption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28"/>
          <w:szCs w:val="28"/>
        </w:rPr>
        <w:t>ตัวเลขสมมติสำหรับแสดงรูปแบบเท่านั้น ไม่ใช่ผลประเมินกิจกรรมจริง</w:t>
      </w:r>
    </w:p>
    <w:p>
      <w:pPr>
        <w:pStyle w:val="Heading2"/>
        <w:keepNext/>
        <w:widowControl/>
        <w:spacing w:line="240" w:lineRule="auto" w:after="120" w:before="200"/>
      </w:pPr>
      <w:r>
        <w:rPr>
          <w:rFonts w:ascii="TH Sarabun New" w:hAnsi="TH Sarabun New" w:eastAsia="TH Sarabun New" w:cs="TH Sarabun New"/>
          <w:sz w:val="40"/>
          <w:szCs w:val="40"/>
        </w:rPr>
        <w:t>3.2 เสียงสะท้อนจากผู้เข้าร่วม</w:t>
      </w:r>
    </w:p>
    <w:p>
      <w:pPr>
        <w:pStyle w:val="Quote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“เมื่อได้ลองทำเอง เราเห็นทั้งจุดที่ผู้เรียนอาจติดขัดและคำถามที่ช่วยให้เขาคิดต่อ จึงอยากกลับไปปรับกิจกรรมให้ทุกคนได้มีส่วนร่วมมากขึ้น”</w:t>
      </w:r>
    </w:p>
    <w:p>
      <w:pPr>
        <w:pStyle w:val="Caption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28"/>
          <w:szCs w:val="28"/>
        </w:rPr>
        <w:t>— ครูผู้เข้าร่วม (ข้อความตัวอย่างที่แต่งเพื่อสาธิตรูปแบบ)</w:t>
      </w:r>
    </w:p>
    <w:p>
      <w:pPr>
        <w:pStyle w:val="Heading2"/>
        <w:keepNext/>
        <w:widowControl/>
        <w:spacing w:line="240" w:lineRule="auto" w:after="120" w:before="200"/>
      </w:pPr>
      <w:r>
        <w:rPr>
          <w:rFonts w:ascii="TH Sarabun New" w:hAnsi="TH Sarabun New" w:eastAsia="TH Sarabun New" w:cs="TH Sarabun New"/>
          <w:sz w:val="40"/>
          <w:szCs w:val="40"/>
        </w:rPr>
        <w:t>3.3 สิ่งที่จะนำไปใช้</w:t>
      </w:r>
    </w:p>
    <w:p>
      <w:pPr>
        <w:pStyle w:val="ListBullet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ทดลองกิจกรรมจากปัญหาใกล้ตัวอย่างน้อยหนึ่งกิจกรรมในห้องเรียน</w:t>
      </w:r>
    </w:p>
    <w:p>
      <w:pPr>
        <w:pStyle w:val="ListBullet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ใช้คำถามปลายเปิดและแบบสะท้อนสั้น ๆ เพื่อดูวิธีคิดของผู้เรียน</w:t>
      </w:r>
    </w:p>
    <w:p>
      <w:pPr>
        <w:pStyle w:val="ListBullet"/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แบ่งปันผลการทดลองกับเครือข่ายครูและปรับแผนจากหลักฐานที่ได้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1" w:val="right"/>
      </w:tabs>
      <w:spacing w:after="0" w:line="240" w:lineRule="auto"/>
    </w:pPr>
    <w:r>
      <w:rPr>
        <w:rFonts w:ascii="Tahoma" w:hAnsi="Tahoma" w:eastAsia="Tahoma" w:cs="Tahoma"/>
        <w:sz w:val="18"/>
        <w:szCs w:val="18"/>
      </w:rPr>
      <w:t>รายงานกิจกรรมพัฒนาครู</w:t>
      <w:tab/>
    </w:r>
    <w:fldSimple w:instr="PAGE">
      <w:r>
        <w:rPr>
          <w:rFonts w:ascii="Tahoma" w:hAnsi="Tahoma" w:eastAsia="Tahoma" w:cs="Tahoma"/>
          <w:sz w:val="18"/>
          <w:szCs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80"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40" w:lineRule="auto"/>
      <w:outlineLvl w:val="0"/>
    </w:pPr>
    <w:rPr>
      <w:rFonts w:ascii="TH Sarabun New" w:hAnsi="TH Sarabun New" w:eastAsia="TH Sarabun New" w:cs="TH Sarabun New"/>
      <w:b/>
      <w:bCs w:val="1"/>
      <w:i w:val="0"/>
      <w:color w:val="000000"/>
      <w:sz w:val="44"/>
      <w:szCs w:val="44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1"/>
    </w:pPr>
    <w:rPr>
      <w:rFonts w:ascii="TH Sarabun New" w:hAnsi="TH Sarabun New" w:eastAsia="TH Sarabun New" w:cs="TH Sarabun New"/>
      <w:b/>
      <w:bCs w:val="1"/>
      <w:i w:val="0"/>
      <w:color w:val="000000"/>
      <w:sz w:val="40"/>
      <w:szCs w:val="4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="TH Sarabun New" w:hAnsi="TH Sarabun New" w:eastAsia="TH Sarabun New" w:cs="TH Sarabun New"/>
      <w:b/>
      <w:bCs w:val="1"/>
      <w:i w:val="0"/>
      <w:color w:val="000000"/>
      <w:sz w:val="36"/>
      <w:szCs w:val="36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/>
      <w:contextualSpacing/>
    </w:pPr>
    <w:rPr>
      <w:rFonts w:ascii="TH Sarabun New" w:hAnsi="TH Sarabun New" w:eastAsia="TH Sarabun New" w:cs="TH Sarabun New"/>
      <w:b/>
      <w:i w:val="0"/>
      <w:color w:val="000000"/>
      <w:kern w:val="28"/>
      <w:sz w:val="56"/>
      <w:szCs w:val="56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240" w:lineRule="auto" w:after="240"/>
    </w:pPr>
    <w:rPr>
      <w:rFonts w:ascii="TH Sarabun New" w:hAnsi="TH Sarabun New" w:eastAsia="TH Sarabun New" w:cs="TH Sarabun New"/>
      <w:b w:val="0"/>
      <w:i w:val="0"/>
      <w:iCs w:val="0"/>
      <w:color w:val="000000"/>
      <w:sz w:val="32"/>
      <w:szCs w:val="32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240" w:lineRule="auto"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40" w:lineRule="auto" w:after="80"/>
      <w:contextualSpacing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40" w:lineRule="auto" w:after="80"/>
      <w:contextualSpacing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240" w:lineRule="auto" w:after="80"/>
      <w:ind w:left="340" w:right="170"/>
    </w:pPr>
    <w:rPr>
      <w:rFonts w:ascii="TH Sarabun New" w:hAnsi="TH Sarabun New" w:eastAsia="TH Sarabun New" w:cs="TH Sarabun New"/>
      <w:b w:val="0"/>
      <w:i w:val="0"/>
      <w:iCs w:val="0"/>
      <w:color w:val="000000"/>
      <w:sz w:val="32"/>
      <w:szCs w:val="32"/>
      <w:b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80"/>
    </w:pPr>
    <w:rPr>
      <w:rFonts w:ascii="TH Sarabun New" w:hAnsi="TH Sarabun New" w:eastAsia="TH Sarabun New" w:cs="TH Sarabun New"/>
      <w:b w:val="0"/>
      <w:bCs w:val="0"/>
      <w:i w:val="0"/>
      <w:color w:val="000000"/>
      <w:sz w:val="28"/>
      <w:szCs w:val="2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development report — illustrative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