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aption"/>
        <w:widowControl/>
        <w:spacing w:line="276" w:lineRule="auto" w:after="140"/>
      </w:pPr>
      <w:r>
        <w:rPr>
          <w:rFonts w:ascii="Calibri" w:hAnsi="Calibri" w:eastAsia="Calibri" w:cs="Calibri"/>
          <w:sz w:val="20"/>
          <w:szCs w:val="20"/>
        </w:rPr>
        <w:t>TEACHER REPORT EXAMPLE  |  Illustrative content</w:t>
      </w:r>
    </w:p>
    <w:p>
      <w:pPr>
        <w:pStyle w:val="Title"/>
        <w:keepNext/>
        <w:widowControl/>
        <w:spacing w:line="276" w:lineRule="auto" w:after="160" w:before="0"/>
      </w:pPr>
      <w:r>
        <w:rPr>
          <w:rFonts w:ascii="Calibri" w:hAnsi="Calibri" w:eastAsia="Calibri" w:cs="Calibri"/>
          <w:sz w:val="44"/>
          <w:szCs w:val="44"/>
        </w:rPr>
        <w:t>STEM Teacher Development</w:t>
        <w:br/>
        <w:t>Participation Report</w:t>
      </w:r>
    </w:p>
    <w:p>
      <w:pPr>
        <w:pStyle w:val="Subtitle"/>
        <w:keepNext/>
        <w:widowControl/>
        <w:spacing w:line="276" w:lineRule="auto" w:after="240" w:before="0"/>
      </w:pPr>
      <w:r>
        <w:rPr>
          <w:rFonts w:ascii="Calibri" w:hAnsi="Calibri" w:eastAsia="Calibri" w:cs="Calibri"/>
          <w:sz w:val="22"/>
          <w:szCs w:val="22"/>
        </w:rPr>
        <w:t>Sharing practice to build inclusive, participatory classrooms</w:t>
      </w:r>
    </w:p>
    <w:p>
      <w:pPr>
        <w:pStyle w:val="Caption"/>
        <w:widowControl/>
        <w:spacing w:line="276" w:lineRule="auto" w:after="140"/>
      </w:pPr>
      <w:r>
        <w:rPr>
          <w:rFonts w:ascii="Calibri" w:hAnsi="Calibri" w:eastAsia="Calibri" w:cs="Calibri"/>
          <w:sz w:val="20"/>
          <w:szCs w:val="20"/>
        </w:rPr>
        <w:t>October 2026  •  Teacher learning network</w:t>
      </w:r>
    </w:p>
    <w:p>
      <w:pPr>
        <w:pStyle w:val="Heading1"/>
        <w:keepNext/>
        <w:widowControl/>
        <w:spacing w:line="276" w:lineRule="auto" w:after="120" w:before="280"/>
      </w:pPr>
      <w:r>
        <w:rPr>
          <w:rFonts w:ascii="Calibri" w:hAnsi="Calibri" w:eastAsia="Calibri" w:cs="Calibri"/>
          <w:sz w:val="32"/>
          <w:szCs w:val="32"/>
        </w:rPr>
        <w:t>1. Background and purpose</w:t>
      </w:r>
    </w:p>
    <w:p>
      <w:pPr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The programme creates a space for teachers to explore practical STEM learning through inquiry, design, and reflection. Activities connect local challenges with classroom questions and encourage participation from learners with different starting points.</w:t>
      </w:r>
    </w:p>
    <w:p>
      <w:pPr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Participation focuses on strengthening facilitation, exploring useful teaching tools, and identifying practices to pilot in school. The teacher network provides a way to exchange evidence and improve these practices over time.</w:t>
      </w:r>
    </w:p>
    <w:p>
      <w:pPr>
        <w:pStyle w:val="Heading1"/>
        <w:keepNext/>
        <w:widowControl/>
        <w:spacing w:line="276" w:lineRule="auto" w:after="120" w:before="280"/>
      </w:pPr>
      <w:r>
        <w:rPr>
          <w:rFonts w:ascii="Calibri" w:hAnsi="Calibri" w:eastAsia="Calibri" w:cs="Calibri"/>
          <w:sz w:val="32"/>
          <w:szCs w:val="32"/>
        </w:rPr>
        <w:t>2. Activity summary</w:t>
      </w:r>
    </w:p>
    <w:p>
      <w:pPr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Three workshop sessions connect the learning process with concrete classroom applications.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4320"/>
        <w:gridCol w:w="4320"/>
      </w:tblGrid>
      <w:tr>
        <w:trPr>
          <w:cantSplit w:val="1"/>
          <w:tblHeader w:val="1"/>
        </w:trPr>
        <w:tc>
          <w:tcPr>
            <w:tcW w:type="dxa" w:w="4320"/>
            <w:shd w:fill="F1F3F5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Session</w:t>
            </w:r>
          </w:p>
        </w:tc>
        <w:tc>
          <w:tcPr>
            <w:tcW w:type="dxa" w:w="4320"/>
            <w:shd w:fill="F1F3F5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Approach and learning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Designing STEM activities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Identify a local challenge, develop a solution, and test a prototype together.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Learning with evidence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Use observations to ask questions, explain results, and communicate findings.</w:t>
            </w:r>
          </w:p>
        </w:tc>
      </w:tr>
      <w:tr>
        <w:trPr>
          <w:cantSplit w:val="1"/>
        </w:trPr>
        <w:tc>
          <w:tcPr>
            <w:tcW w:type="dxa" w:w="432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Reflecting and exchanging</w:t>
            </w:r>
          </w:p>
        </w:tc>
        <w:tc>
          <w:tcPr>
            <w:tcW w:type="dxa" w:w="432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Gather feedback, refine the activity plan, and agree on a next classroom trial.</w:t>
            </w:r>
          </w:p>
        </w:tc>
      </w:tr>
    </w:tbl>
    <w:p>
      <w:pPr>
        <w:widowControl/>
        <w:spacing w:after="140" w:line="276" w:lineRule="auto"/>
      </w:pPr>
    </w:p>
    <w:p>
      <w:pPr>
        <w:pStyle w:val="Heading2"/>
        <w:keepNext/>
        <w:widowControl/>
        <w:spacing w:line="276" w:lineRule="auto" w:after="120" w:before="200"/>
      </w:pPr>
      <w:r>
        <w:rPr>
          <w:rFonts w:ascii="Calibri" w:hAnsi="Calibri" w:eastAsia="Calibri" w:cs="Calibri"/>
          <w:sz w:val="26"/>
          <w:szCs w:val="26"/>
        </w:rPr>
        <w:t>What the process made visible</w:t>
      </w:r>
    </w:p>
    <w:p>
      <w:pPr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Teachers practised explaining, listening, and adapting activities to learners. Exchanges between groups helped identify options suitable for different school contexts, including activities using readily available materials.</w:t>
      </w:r>
    </w:p>
    <w:p>
      <w:pPr>
        <w:pStyle w:val="Heading1"/>
        <w:keepNext/>
        <w:pageBreakBefore/>
        <w:widowControl/>
        <w:spacing w:line="276" w:lineRule="auto" w:after="120" w:before="280"/>
      </w:pPr>
      <w:r>
        <w:rPr>
          <w:rFonts w:ascii="Calibri" w:hAnsi="Calibri" w:eastAsia="Calibri" w:cs="Calibri"/>
          <w:sz w:val="32"/>
          <w:szCs w:val="32"/>
        </w:rPr>
        <w:t>3. Reflection</w:t>
      </w:r>
    </w:p>
    <w:p>
      <w:pPr>
        <w:pStyle w:val="Heading2"/>
        <w:keepNext/>
        <w:widowControl/>
        <w:spacing w:line="276" w:lineRule="auto" w:after="120" w:before="200"/>
      </w:pPr>
      <w:r>
        <w:rPr>
          <w:rFonts w:ascii="Calibri" w:hAnsi="Calibri" w:eastAsia="Calibri" w:cs="Calibri"/>
          <w:sz w:val="26"/>
          <w:szCs w:val="26"/>
        </w:rPr>
        <w:t>3.1 Key learning and overall experience</w:t>
      </w:r>
    </w:p>
    <w:p>
      <w:pPr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As facilitators, teachers explored how clear questions and hands-on tasks help participants build their own explanations. Observing the group made it possible to adjust pacing and support during the activity.</w:t>
      </w:r>
    </w:p>
    <w:p>
      <w:pPr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As participants, teachers encountered several ways to connect STEM with daily life. Locally accessible materials offered a practical starting point for classroom trials.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110" w:type="dxa"/>
          <w:left w:w="110" w:type="dxa"/>
          <w:bottom w:w="110" w:type="dxa"/>
          <w:right w:w="110" w:type="dxa"/>
        </w:tblCellMar>
      </w:tblPr>
      <w:tblGrid>
        <w:gridCol w:w="2880"/>
        <w:gridCol w:w="2880"/>
        <w:gridCol w:w="2880"/>
      </w:tblGrid>
      <w:tr>
        <w:trPr>
          <w:cantSplit w:val="1"/>
          <w:tblHeader w:val="1"/>
        </w:trPr>
        <w:tc>
          <w:tcPr>
            <w:tcW w:type="dxa" w:w="2880"/>
            <w:shd w:fill="F1F3F5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Mean score</w:t>
            </w:r>
          </w:p>
        </w:tc>
        <w:tc>
          <w:tcPr>
            <w:tcW w:type="dxa" w:w="2880"/>
            <w:shd w:fill="F1F3F5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Equivalent / 100</w:t>
            </w:r>
          </w:p>
        </w:tc>
        <w:tc>
          <w:tcPr>
            <w:tcW w:type="dxa" w:w="2880"/>
            <w:shd w:fill="F1F3F5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b/>
                <w:sz w:val="22"/>
                <w:szCs w:val="22"/>
              </w:rPr>
              <w:t>Responses</w:t>
            </w:r>
          </w:p>
        </w:tc>
      </w:tr>
      <w:tr>
        <w:trPr>
          <w:cantSplit w:val="1"/>
        </w:trPr>
        <w:tc>
          <w:tcPr>
            <w:tcW w:type="dxa" w:w="288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8.60 / 10</w:t>
            </w:r>
          </w:p>
        </w:tc>
        <w:tc>
          <w:tcPr>
            <w:tcW w:type="dxa" w:w="288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86.0 / 100</w:t>
            </w:r>
          </w:p>
        </w:tc>
        <w:tc>
          <w:tcPr>
            <w:tcW w:type="dxa" w:w="2880"/>
          </w:tcPr>
          <w:p>
            <w:pPr>
              <w:widowControl/>
              <w:spacing w:after="60" w:before="60" w:line="276" w:lineRule="auto"/>
            </w:pPr>
            <w:r>
              <w:rPr>
                <w:rFonts w:ascii="Calibri" w:hAnsi="Calibri" w:eastAsia="Calibri" w:cs="Calibri"/>
                <w:sz w:val="22"/>
                <w:szCs w:val="22"/>
              </w:rPr>
              <w:t>15</w:t>
            </w:r>
          </w:p>
        </w:tc>
      </w:tr>
    </w:tbl>
    <w:p>
      <w:pPr>
        <w:widowControl/>
        <w:spacing w:after="140" w:line="276" w:lineRule="auto"/>
      </w:pPr>
    </w:p>
    <w:p>
      <w:pPr>
        <w:pStyle w:val="Caption"/>
        <w:widowControl/>
        <w:spacing w:line="276" w:lineRule="auto" w:after="140"/>
      </w:pPr>
      <w:r>
        <w:rPr>
          <w:rFonts w:ascii="Calibri" w:hAnsi="Calibri" w:eastAsia="Calibri" w:cs="Calibri"/>
          <w:sz w:val="20"/>
          <w:szCs w:val="20"/>
        </w:rPr>
        <w:t>Fictional figures used only to demonstrate the layout; these are not evaluation findings.</w:t>
      </w:r>
    </w:p>
    <w:p>
      <w:pPr>
        <w:pStyle w:val="Heading2"/>
        <w:keepNext/>
        <w:widowControl/>
        <w:spacing w:line="276" w:lineRule="auto" w:after="120" w:before="200"/>
      </w:pPr>
      <w:r>
        <w:rPr>
          <w:rFonts w:ascii="Calibri" w:hAnsi="Calibri" w:eastAsia="Calibri" w:cs="Calibri"/>
          <w:sz w:val="26"/>
          <w:szCs w:val="26"/>
        </w:rPr>
        <w:t>3.2 Participant voice</w:t>
      </w:r>
    </w:p>
    <w:p>
      <w:pPr>
        <w:pStyle w:val="Quote"/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“Trying the activity ourselves helped us recognise where learners might need support and which questions could move their thinking forward. I would like to make more space for everyone to participate.”</w:t>
      </w:r>
    </w:p>
    <w:p>
      <w:pPr>
        <w:pStyle w:val="Caption"/>
        <w:widowControl/>
        <w:spacing w:line="276" w:lineRule="auto" w:after="140"/>
      </w:pPr>
      <w:r>
        <w:rPr>
          <w:rFonts w:ascii="Calibri" w:hAnsi="Calibri" w:eastAsia="Calibri" w:cs="Calibri"/>
          <w:sz w:val="20"/>
          <w:szCs w:val="20"/>
        </w:rPr>
        <w:t>— Illustrative teacher voice, written for this example</w:t>
      </w:r>
    </w:p>
    <w:p>
      <w:pPr>
        <w:pStyle w:val="Heading2"/>
        <w:keepNext/>
        <w:widowControl/>
        <w:spacing w:line="276" w:lineRule="auto" w:after="120" w:before="200"/>
      </w:pPr>
      <w:r>
        <w:rPr>
          <w:rFonts w:ascii="Calibri" w:hAnsi="Calibri" w:eastAsia="Calibri" w:cs="Calibri"/>
          <w:sz w:val="26"/>
          <w:szCs w:val="26"/>
        </w:rPr>
        <w:t>3.3 Intended application</w:t>
      </w:r>
    </w:p>
    <w:p>
      <w:pPr>
        <w:pStyle w:val="ListBullet"/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Pilot one classroom activity based on a local challenge.</w:t>
      </w:r>
    </w:p>
    <w:p>
      <w:pPr>
        <w:pStyle w:val="ListBullet"/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Use open questions and short reflections to understand learner thinking.</w:t>
      </w:r>
    </w:p>
    <w:p>
      <w:pPr>
        <w:pStyle w:val="ListBullet"/>
        <w:widowControl/>
        <w:spacing w:line="276" w:lineRule="auto" w:after="140"/>
      </w:pPr>
      <w:r>
        <w:rPr>
          <w:rFonts w:ascii="Calibri" w:hAnsi="Calibri" w:eastAsia="Calibri" w:cs="Calibri"/>
          <w:sz w:val="23"/>
          <w:szCs w:val="23"/>
        </w:rPr>
        <w:t>Share evidence with the teacher network and refine the plan.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411" w:val="right"/>
      </w:tabs>
      <w:spacing w:after="0" w:line="240" w:lineRule="auto"/>
    </w:pPr>
    <w:r>
      <w:rPr>
        <w:rFonts w:ascii="Calibri" w:hAnsi="Calibri" w:eastAsia="Calibri" w:cs="Calibri"/>
        <w:sz w:val="18"/>
        <w:szCs w:val="18"/>
      </w:rPr>
      <w:t>Teacher Document Studio</w:t>
      <w:tab/>
    </w:r>
    <w:fldSimple w:instr="PAGE">
      <w:r>
        <w:rPr>
          <w:rFonts w:ascii="Calibri" w:hAnsi="Calibri" w:eastAsia="Calibri" w:cs="Calibri"/>
          <w:sz w:val="18"/>
          <w:szCs w:val="18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40"/>
    </w:pPr>
    <w:rPr>
      <w:rFonts w:ascii="Calibri" w:hAnsi="Calibri" w:eastAsia="Calibri" w:cs="Calibri"/>
      <w:b w:val="0"/>
      <w:i w:val="0"/>
      <w:color w:val="000000"/>
      <w:sz w:val="23"/>
      <w:szCs w:val="23"/>
      <w:bCs w:val="0"/>
      <w:i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80" w:after="120" w:line="276" w:lineRule="auto"/>
      <w:outlineLvl w:val="0"/>
    </w:pPr>
    <w:rPr>
      <w:rFonts w:ascii="Calibri" w:hAnsi="Calibri" w:eastAsia="Calibri" w:cs="Calibri"/>
      <w:b/>
      <w:bCs w:val="1"/>
      <w:i w:val="0"/>
      <w:color w:val="000000"/>
      <w:sz w:val="32"/>
      <w:szCs w:val="32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 w:line="276" w:lineRule="auto"/>
      <w:outlineLvl w:val="1"/>
    </w:pPr>
    <w:rPr>
      <w:rFonts w:ascii="Calibri" w:hAnsi="Calibri" w:eastAsia="Calibri" w:cs="Calibri"/>
      <w:b/>
      <w:bCs w:val="1"/>
      <w:i w:val="0"/>
      <w:color w:val="000000"/>
      <w:sz w:val="26"/>
      <w:szCs w:val="26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276" w:lineRule="auto"/>
      <w:outlineLvl w:val="2"/>
    </w:pPr>
    <w:rPr>
      <w:rFonts w:ascii="Calibri" w:hAnsi="Calibri" w:eastAsia="Calibri" w:cs="Calibri"/>
      <w:b/>
      <w:bCs w:val="1"/>
      <w:i w:val="0"/>
      <w:color w:val="000000"/>
      <w:sz w:val="23"/>
      <w:szCs w:val="23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76" w:lineRule="auto"/>
      <w:contextualSpacing/>
    </w:pPr>
    <w:rPr>
      <w:rFonts w:ascii="Calibri" w:hAnsi="Calibri" w:eastAsia="Calibri" w:cs="Calibri"/>
      <w:b/>
      <w:i w:val="0"/>
      <w:color w:val="000000"/>
      <w:kern w:val="28"/>
      <w:sz w:val="44"/>
      <w:szCs w:val="44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276" w:lineRule="auto" w:after="240"/>
    </w:pPr>
    <w:rPr>
      <w:rFonts w:ascii="Calibri" w:hAnsi="Calibri" w:eastAsia="Calibri" w:cs="Calibri"/>
      <w:b w:val="0"/>
      <w:i w:val="0"/>
      <w:iCs w:val="0"/>
      <w:color w:val="000000"/>
      <w:sz w:val="22"/>
      <w:szCs w:val="22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40" w:line="276" w:lineRule="auto"/>
    </w:pPr>
    <w:rPr>
      <w:rFonts w:ascii="Calibri" w:hAnsi="Calibri" w:eastAsia="Calibri" w:cs="Calibri"/>
      <w:b w:val="0"/>
      <w:i w:val="0"/>
      <w:color w:val="000000"/>
      <w:sz w:val="23"/>
      <w:szCs w:val="23"/>
      <w:bCs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line="276" w:lineRule="auto" w:after="140"/>
      <w:contextualSpacing/>
    </w:pPr>
    <w:rPr>
      <w:rFonts w:ascii="Calibri" w:hAnsi="Calibri" w:eastAsia="Calibri" w:cs="Calibri"/>
      <w:b w:val="0"/>
      <w:i w:val="0"/>
      <w:color w:val="000000"/>
      <w:sz w:val="23"/>
      <w:szCs w:val="23"/>
      <w:bCs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line="276" w:lineRule="auto" w:after="140"/>
      <w:contextualSpacing/>
    </w:pPr>
    <w:rPr>
      <w:rFonts w:ascii="Calibri" w:hAnsi="Calibri" w:eastAsia="Calibri" w:cs="Calibri"/>
      <w:b w:val="0"/>
      <w:i w:val="0"/>
      <w:color w:val="000000"/>
      <w:sz w:val="23"/>
      <w:szCs w:val="23"/>
      <w:bCs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widowControl/>
      <w:spacing w:line="276" w:lineRule="auto" w:after="140"/>
      <w:ind w:left="340" w:right="170"/>
    </w:pPr>
    <w:rPr>
      <w:rFonts w:ascii="Calibri" w:hAnsi="Calibri" w:eastAsia="Calibri" w:cs="Calibri"/>
      <w:b w:val="0"/>
      <w:i/>
      <w:iCs w:val="1"/>
      <w:color w:val="000000"/>
      <w:sz w:val="23"/>
      <w:szCs w:val="23"/>
      <w:bCs w:val="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6" w:lineRule="auto" w:after="140"/>
    </w:pPr>
    <w:rPr>
      <w:rFonts w:ascii="Calibri" w:hAnsi="Calibri" w:eastAsia="Calibri" w:cs="Calibri"/>
      <w:b w:val="0"/>
      <w:bCs w:val="0"/>
      <w:i w:val="0"/>
      <w:color w:val="000000"/>
      <w:sz w:val="20"/>
      <w:szCs w:val="2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development report — illustrative example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