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ASCOT</w:t>
      </w:r>
      <w:r>
        <w:t xml:space="preserve"> </w:t>
      </w:r>
      <w:r>
        <w:t xml:space="preserve">ADAPT</w:t>
      </w:r>
      <w:r>
        <w:t xml:space="preserve"> </w:t>
      </w:r>
      <w:r>
        <w:t xml:space="preserve">Statistics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In ASCOT ADAPT, each trial participant is assigned to receive a treatment regimen which consists of one treatment from each of a number of domains for which that participant is eligible.</w:t>
      </w:r>
      <w:r>
        <w:t xml:space="preserve"> </w:t>
      </w:r>
      <w:r>
        <w:t xml:space="preserve">Each viable treatment regimen is an available arm in the trial.</w:t>
      </w:r>
      <w:r>
        <w:t xml:space="preserve"> </w:t>
      </w:r>
      <w:r>
        <w:t xml:space="preserve">Initially, all interventions within each domain are assigned at random with equal probability.</w:t>
      </w:r>
    </w:p>
    <w:p>
      <w:pPr>
        <w:pStyle w:val="BodyText"/>
      </w:pPr>
      <w:r>
        <w:t xml:space="preserve">Sequential statistical analyses using Bayesian inference for pre-specified models of the primary outcome are undertaken as the trial progresses.</w:t>
      </w:r>
      <w:r>
        <w:t xml:space="preserve"> </w:t>
      </w:r>
      <w:r>
        <w:t xml:space="preserve">These analyses use the accumulating trial information for estimating the relative efficacy of the interventions being considered and assessing how probable it is that each intervention is superior (best within a domain), inferior (not best within a domain), effective (better than the standard of care), or futile (no better than the standard of care).</w:t>
      </w:r>
    </w:p>
    <w:p>
      <w:pPr>
        <w:pStyle w:val="BodyText"/>
      </w:pPr>
      <w:r>
        <w:t xml:space="preserve">Statistical decisions are then based on comparing the probability of each hypothesis with predefined evidence thresholds which when exceeded trigger a decision of superiority, inferiority, effectiveness, or futility of each intervention.</w:t>
      </w:r>
      <w:r>
        <w:t xml:space="preserve"> </w:t>
      </w:r>
      <w:r>
        <w:t xml:space="preserve">If an intervention is found superior then randomisation to all other interventions within that domain may cease.</w:t>
      </w:r>
      <w:r>
        <w:t xml:space="preserve"> </w:t>
      </w:r>
      <w:r>
        <w:t xml:space="preserve">If an intervention is found futile or inferior then randomisation to that intervention may cease.</w:t>
      </w:r>
      <w:r>
        <w:t xml:space="preserve"> </w:t>
      </w:r>
      <w:r>
        <w:t xml:space="preserve">This allows for elimination of ineffective treatments as soon as there is sufficient evidence available.</w:t>
      </w:r>
    </w:p>
    <w:p>
      <w:pPr>
        <w:pStyle w:val="BodyText"/>
      </w:pPr>
      <w:r>
        <w:t xml:space="preserve">In addition to informing trial decisions, the updated model is used to update the allocation probabilities to each of the regimens still active in the trial via response adaptive randomisation.</w:t>
      </w:r>
      <w:r>
        <w:t xml:space="preserve"> </w:t>
      </w:r>
      <w:r>
        <w:t xml:space="preserve">The allocation probabilities of each intervention within a domain are revised in proportion to the modelled probability that each regimen is best in terms of the primary outcome.</w:t>
      </w:r>
      <w:r>
        <w:t xml:space="preserve"> </w:t>
      </w:r>
      <w:r>
        <w:t xml:space="preserve">This allows for trial participants to potentially benefit in light of the information being generated from the trial itself.</w:t>
      </w:r>
    </w:p>
    <w:p>
      <w:pPr>
        <w:pStyle w:val="BodyText"/>
      </w:pPr>
      <w:r>
        <w:t xml:space="preserve">The statistical models consist of structured parameters representing intervention effects.</w:t>
      </w:r>
      <w:r>
        <w:t xml:space="preserve"> </w:t>
      </w:r>
      <w:r>
        <w:t xml:space="preserve">To account for variation in the primary outcome the models are also adjusted for each participants domain eligibility, region, site, and time of enrolment.</w:t>
      </w:r>
      <w:r>
        <w:t xml:space="preserve"> </w:t>
      </w:r>
      <w:r>
        <w:t xml:space="preserve">Additional prognostic factors, such as age or baseline severity, may also be included as model terms to increase the precision of treatment effect parameters.</w:t>
      </w:r>
      <w:r>
        <w:t xml:space="preserve"> </w:t>
      </w:r>
      <w:r>
        <w:t xml:space="preserve">Subgroup effects can be investigated within an expanded model which allows for varying treatment effects across selected baseline factors.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ASCOT ADAPT Statistics Summary</dc:title>
  <dc:creator/>
  <cp:keywords/>
  <dcterms:created xsi:type="dcterms:W3CDTF">2020-07-14T23:30:11Z</dcterms:created>
  <dcterms:modified xsi:type="dcterms:W3CDTF">2020-07-14T23:30:11Z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2020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